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F49652" w14:textId="77777777" w:rsidR="00D82793" w:rsidRPr="00D82793" w:rsidRDefault="00D82793" w:rsidP="00D82793">
      <w:pPr>
        <w:spacing w:after="0" w:line="240" w:lineRule="auto"/>
        <w:jc w:val="center"/>
        <w:rPr>
          <w:rFonts w:ascii="Times New Roman" w:eastAsia="Times New Roman" w:hAnsi="Times New Roman" w:cs="Times New Roman"/>
          <w:b/>
          <w:bCs/>
          <w:color w:val="000000"/>
          <w:sz w:val="28"/>
          <w:szCs w:val="28"/>
          <w:lang w:eastAsia="ru-RU"/>
        </w:rPr>
      </w:pPr>
      <w:r w:rsidRPr="00D82793">
        <w:rPr>
          <w:rFonts w:ascii="Times New Roman" w:eastAsia="Times New Roman" w:hAnsi="Times New Roman" w:cs="Times New Roman"/>
          <w:b/>
          <w:bCs/>
          <w:color w:val="000000"/>
          <w:sz w:val="28"/>
          <w:szCs w:val="28"/>
          <w:lang w:eastAsia="ru-RU"/>
        </w:rPr>
        <w:t>Міністерство освіти та науки України</w:t>
      </w:r>
    </w:p>
    <w:p w14:paraId="0D37AC92" w14:textId="77777777" w:rsidR="00D82793" w:rsidRPr="00D82793" w:rsidRDefault="00D82793" w:rsidP="00D82793">
      <w:pPr>
        <w:spacing w:after="0" w:line="240" w:lineRule="auto"/>
        <w:jc w:val="center"/>
        <w:rPr>
          <w:rFonts w:ascii="Times New Roman" w:eastAsia="Times New Roman" w:hAnsi="Times New Roman" w:cs="Times New Roman"/>
          <w:b/>
          <w:bCs/>
          <w:color w:val="000000"/>
          <w:sz w:val="28"/>
          <w:szCs w:val="28"/>
          <w:lang w:eastAsia="ru-RU"/>
        </w:rPr>
      </w:pPr>
      <w:r w:rsidRPr="00D82793">
        <w:rPr>
          <w:rFonts w:ascii="Times New Roman" w:eastAsia="Times New Roman" w:hAnsi="Times New Roman" w:cs="Times New Roman"/>
          <w:b/>
          <w:bCs/>
          <w:color w:val="000000"/>
          <w:sz w:val="28"/>
          <w:szCs w:val="28"/>
          <w:lang w:eastAsia="ru-RU"/>
        </w:rPr>
        <w:t>Луцький національний технічний університет</w:t>
      </w:r>
    </w:p>
    <w:p w14:paraId="2BE41C48" w14:textId="77777777" w:rsidR="00D82793" w:rsidRPr="00D82793" w:rsidRDefault="00D82793" w:rsidP="00D82793">
      <w:pPr>
        <w:keepNext/>
        <w:shd w:val="clear" w:color="auto" w:fill="FFFFFF"/>
        <w:spacing w:after="0" w:line="270" w:lineRule="atLeast"/>
        <w:jc w:val="center"/>
        <w:outlineLvl w:val="1"/>
        <w:rPr>
          <w:rFonts w:ascii="Times New Roman" w:eastAsia="Batang" w:hAnsi="Times New Roman" w:cs="Times New Roman"/>
          <w:b/>
          <w:bCs/>
          <w:i/>
          <w:iCs/>
          <w:caps/>
          <w:spacing w:val="-18"/>
          <w:sz w:val="28"/>
          <w:szCs w:val="28"/>
          <w:lang w:eastAsia="uk-UA"/>
        </w:rPr>
      </w:pPr>
    </w:p>
    <w:p w14:paraId="691DB552" w14:textId="77777777" w:rsidR="00D82793" w:rsidRPr="00D82793" w:rsidRDefault="00D82793" w:rsidP="00D82793">
      <w:pPr>
        <w:widowControl w:val="0"/>
        <w:autoSpaceDE w:val="0"/>
        <w:autoSpaceDN w:val="0"/>
        <w:adjustRightInd w:val="0"/>
        <w:spacing w:after="0" w:line="240" w:lineRule="auto"/>
        <w:rPr>
          <w:rFonts w:ascii="Times New Roman" w:eastAsia="Times New Roman" w:hAnsi="Times New Roman" w:cs="Times New Roman"/>
          <w:sz w:val="20"/>
          <w:szCs w:val="20"/>
          <w:lang w:eastAsia="uk-UA"/>
        </w:rPr>
      </w:pPr>
    </w:p>
    <w:p w14:paraId="33C1E95A" w14:textId="77777777" w:rsidR="00D82793" w:rsidRPr="00D82793" w:rsidRDefault="00D82793" w:rsidP="00D82793">
      <w:pPr>
        <w:keepNext/>
        <w:shd w:val="clear" w:color="auto" w:fill="FFFFFF"/>
        <w:spacing w:after="0" w:line="270" w:lineRule="atLeast"/>
        <w:jc w:val="center"/>
        <w:outlineLvl w:val="1"/>
        <w:rPr>
          <w:rFonts w:ascii="Times New Roman" w:eastAsia="Batang" w:hAnsi="Times New Roman" w:cs="Times New Roman"/>
          <w:b/>
          <w:bCs/>
          <w:i/>
          <w:iCs/>
          <w:caps/>
          <w:spacing w:val="-18"/>
          <w:sz w:val="48"/>
          <w:szCs w:val="48"/>
          <w:lang w:eastAsia="uk-UA"/>
        </w:rPr>
      </w:pPr>
      <w:r w:rsidRPr="00D82793">
        <w:rPr>
          <w:rFonts w:ascii="Times New Roman" w:eastAsia="Batang" w:hAnsi="Times New Roman" w:cs="Times New Roman"/>
          <w:b/>
          <w:bCs/>
          <w:i/>
          <w:iCs/>
          <w:caps/>
          <w:noProof/>
          <w:spacing w:val="-18"/>
          <w:sz w:val="48"/>
          <w:szCs w:val="48"/>
          <w:lang w:eastAsia="ru-RU"/>
        </w:rPr>
        <w:drawing>
          <wp:inline distT="0" distB="0" distL="0" distR="0" wp14:anchorId="5BCAEA67" wp14:editId="128F4A83">
            <wp:extent cx="1416685" cy="1441450"/>
            <wp:effectExtent l="0" t="0" r="0" b="0"/>
            <wp:docPr id="8" name="Рисунок 8"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ого Луцький НТУ 2021 (без тексту)"/>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16685" cy="1441450"/>
                    </a:xfrm>
                    <a:prstGeom prst="rect">
                      <a:avLst/>
                    </a:prstGeom>
                    <a:noFill/>
                    <a:ln>
                      <a:noFill/>
                    </a:ln>
                  </pic:spPr>
                </pic:pic>
              </a:graphicData>
            </a:graphic>
          </wp:inline>
        </w:drawing>
      </w:r>
    </w:p>
    <w:p w14:paraId="3121DE04" w14:textId="77777777" w:rsidR="00D82793" w:rsidRPr="00D82793" w:rsidRDefault="00D82793" w:rsidP="00D82793">
      <w:pPr>
        <w:widowControl w:val="0"/>
        <w:autoSpaceDE w:val="0"/>
        <w:autoSpaceDN w:val="0"/>
        <w:adjustRightInd w:val="0"/>
        <w:spacing w:after="0" w:line="360" w:lineRule="auto"/>
        <w:contextualSpacing/>
        <w:jc w:val="center"/>
        <w:rPr>
          <w:rFonts w:ascii="Times New Roman" w:eastAsia="Times New Roman" w:hAnsi="Times New Roman" w:cs="Times New Roman"/>
          <w:b/>
          <w:color w:val="000000"/>
          <w:sz w:val="20"/>
          <w:szCs w:val="20"/>
          <w:lang w:eastAsia="uk-UA"/>
        </w:rPr>
      </w:pPr>
    </w:p>
    <w:p w14:paraId="7B4EFB64" w14:textId="77777777" w:rsidR="00D82793" w:rsidRPr="00D82793" w:rsidRDefault="00D82793" w:rsidP="00D82793">
      <w:pPr>
        <w:widowControl w:val="0"/>
        <w:autoSpaceDE w:val="0"/>
        <w:autoSpaceDN w:val="0"/>
        <w:adjustRightInd w:val="0"/>
        <w:spacing w:after="0" w:line="360" w:lineRule="auto"/>
        <w:contextualSpacing/>
        <w:jc w:val="center"/>
        <w:rPr>
          <w:rFonts w:ascii="Times New Roman" w:eastAsia="Times New Roman" w:hAnsi="Times New Roman" w:cs="Times New Roman"/>
          <w:b/>
          <w:color w:val="000000"/>
          <w:sz w:val="20"/>
          <w:szCs w:val="20"/>
          <w:lang w:eastAsia="uk-UA"/>
        </w:rPr>
      </w:pPr>
    </w:p>
    <w:p w14:paraId="200F3785" w14:textId="77777777" w:rsidR="00D82793" w:rsidRPr="00D82793" w:rsidRDefault="00D82793" w:rsidP="00D82793">
      <w:pPr>
        <w:widowControl w:val="0"/>
        <w:autoSpaceDE w:val="0"/>
        <w:autoSpaceDN w:val="0"/>
        <w:adjustRightInd w:val="0"/>
        <w:spacing w:after="0" w:line="360" w:lineRule="auto"/>
        <w:contextualSpacing/>
        <w:jc w:val="center"/>
        <w:rPr>
          <w:rFonts w:ascii="Times New Roman" w:eastAsia="Times New Roman" w:hAnsi="Times New Roman" w:cs="Times New Roman"/>
          <w:b/>
          <w:color w:val="000000"/>
          <w:sz w:val="20"/>
          <w:szCs w:val="20"/>
          <w:lang w:eastAsia="uk-UA"/>
        </w:rPr>
      </w:pPr>
    </w:p>
    <w:p w14:paraId="02D1BD77" w14:textId="77777777" w:rsidR="00D82793" w:rsidRPr="00D82793" w:rsidRDefault="00D82793" w:rsidP="00D82793">
      <w:pPr>
        <w:widowControl w:val="0"/>
        <w:autoSpaceDE w:val="0"/>
        <w:autoSpaceDN w:val="0"/>
        <w:adjustRightInd w:val="0"/>
        <w:spacing w:after="0" w:line="240" w:lineRule="auto"/>
        <w:contextualSpacing/>
        <w:jc w:val="center"/>
        <w:rPr>
          <w:rFonts w:ascii="Times New Roman" w:eastAsia="Times New Roman" w:hAnsi="Times New Roman" w:cs="Times New Roman"/>
          <w:b/>
          <w:color w:val="000000"/>
          <w:sz w:val="28"/>
          <w:szCs w:val="28"/>
          <w:lang w:eastAsia="uk-UA"/>
        </w:rPr>
      </w:pPr>
    </w:p>
    <w:p w14:paraId="435E3108" w14:textId="5C91F2CA" w:rsidR="00D82793" w:rsidRPr="00D82793" w:rsidRDefault="00896C01" w:rsidP="00D82793">
      <w:pPr>
        <w:widowControl w:val="0"/>
        <w:autoSpaceDE w:val="0"/>
        <w:autoSpaceDN w:val="0"/>
        <w:adjustRightInd w:val="0"/>
        <w:spacing w:after="0" w:line="240" w:lineRule="auto"/>
        <w:contextualSpacing/>
        <w:jc w:val="center"/>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sz w:val="28"/>
          <w:szCs w:val="28"/>
          <w:lang w:eastAsia="ru-RU"/>
        </w:rPr>
        <w:t>ЗЕЛЕНА ЕКОН</w:t>
      </w:r>
      <w:r w:rsidR="000D37FE">
        <w:rPr>
          <w:rFonts w:ascii="Times New Roman" w:eastAsia="Times New Roman" w:hAnsi="Times New Roman" w:cs="Times New Roman"/>
          <w:b/>
          <w:sz w:val="28"/>
          <w:szCs w:val="28"/>
          <w:lang w:eastAsia="ru-RU"/>
        </w:rPr>
        <w:t>ОМІКА</w:t>
      </w:r>
    </w:p>
    <w:p w14:paraId="0F8BDF98" w14:textId="77777777" w:rsidR="00D82793" w:rsidRPr="00D82793" w:rsidRDefault="00D82793" w:rsidP="00D82793">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4"/>
          <w:szCs w:val="24"/>
          <w:lang w:eastAsia="uk-UA"/>
        </w:rPr>
      </w:pPr>
    </w:p>
    <w:p w14:paraId="040D92FA" w14:textId="77777777" w:rsidR="00D82793" w:rsidRPr="00D82793" w:rsidRDefault="00D82793" w:rsidP="00D82793">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4"/>
          <w:szCs w:val="24"/>
          <w:lang w:eastAsia="uk-UA"/>
        </w:rPr>
      </w:pPr>
      <w:r w:rsidRPr="00D82793">
        <w:rPr>
          <w:rFonts w:ascii="Times New Roman" w:eastAsia="Times New Roman" w:hAnsi="Times New Roman" w:cs="Times New Roman"/>
          <w:color w:val="000000"/>
          <w:sz w:val="24"/>
          <w:szCs w:val="24"/>
          <w:lang w:eastAsia="uk-UA"/>
        </w:rPr>
        <w:t>Конспект лекцій</w:t>
      </w:r>
    </w:p>
    <w:p w14:paraId="17CC429C" w14:textId="77777777" w:rsidR="00D82793" w:rsidRPr="00D82793" w:rsidRDefault="00D82793" w:rsidP="00D82793">
      <w:pPr>
        <w:widowControl w:val="0"/>
        <w:autoSpaceDE w:val="0"/>
        <w:autoSpaceDN w:val="0"/>
        <w:adjustRightInd w:val="0"/>
        <w:spacing w:after="0" w:line="240" w:lineRule="auto"/>
        <w:contextualSpacing/>
        <w:jc w:val="center"/>
        <w:rPr>
          <w:rFonts w:ascii="Times New Roman" w:eastAsia="Times New Roman" w:hAnsi="Times New Roman" w:cs="Times New Roman"/>
          <w:sz w:val="24"/>
          <w:szCs w:val="24"/>
          <w:lang w:eastAsia="uk-UA"/>
        </w:rPr>
      </w:pPr>
      <w:bookmarkStart w:id="0" w:name="_Hlk208173100"/>
      <w:r w:rsidRPr="00D82793">
        <w:rPr>
          <w:rFonts w:ascii="Times New Roman" w:eastAsia="Times New Roman" w:hAnsi="Times New Roman" w:cs="Times New Roman"/>
          <w:sz w:val="24"/>
          <w:szCs w:val="24"/>
          <w:lang w:eastAsia="uk-UA"/>
        </w:rPr>
        <w:t>для підготовки бакалавра</w:t>
      </w:r>
    </w:p>
    <w:p w14:paraId="12242095" w14:textId="77777777" w:rsidR="00D82793" w:rsidRPr="00D82793" w:rsidRDefault="00D82793" w:rsidP="00D82793">
      <w:pPr>
        <w:spacing w:after="0" w:line="240" w:lineRule="auto"/>
        <w:jc w:val="center"/>
        <w:rPr>
          <w:rFonts w:ascii="Times New Roman" w:eastAsia="Times New Roman" w:hAnsi="Times New Roman" w:cs="Times New Roman"/>
          <w:color w:val="000000"/>
          <w:sz w:val="24"/>
          <w:szCs w:val="24"/>
          <w:lang w:eastAsia="uk-UA"/>
        </w:rPr>
      </w:pPr>
      <w:r w:rsidRPr="00D82793">
        <w:rPr>
          <w:rFonts w:ascii="Times New Roman" w:eastAsia="Times New Roman" w:hAnsi="Times New Roman" w:cs="Times New Roman"/>
          <w:color w:val="000000"/>
          <w:sz w:val="24"/>
          <w:szCs w:val="24"/>
          <w:lang w:eastAsia="uk-UA"/>
        </w:rPr>
        <w:t>галузь знань – С «Соціальні науки, журналістика, інформація та міжнародні відносини»</w:t>
      </w:r>
    </w:p>
    <w:p w14:paraId="0F02B9AA" w14:textId="77777777" w:rsidR="00D82793" w:rsidRPr="00D82793" w:rsidRDefault="00D82793" w:rsidP="00D82793">
      <w:pPr>
        <w:spacing w:after="0" w:line="240" w:lineRule="auto"/>
        <w:jc w:val="center"/>
        <w:rPr>
          <w:rFonts w:ascii="Times New Roman" w:eastAsia="Times New Roman" w:hAnsi="Times New Roman" w:cs="Times New Roman"/>
          <w:color w:val="000000"/>
          <w:sz w:val="24"/>
          <w:szCs w:val="24"/>
          <w:lang w:eastAsia="uk-UA"/>
        </w:rPr>
      </w:pPr>
      <w:r w:rsidRPr="00D82793">
        <w:rPr>
          <w:rFonts w:ascii="Times New Roman" w:eastAsia="Times New Roman" w:hAnsi="Times New Roman" w:cs="Times New Roman"/>
          <w:color w:val="000000"/>
          <w:sz w:val="24"/>
          <w:szCs w:val="24"/>
          <w:lang w:eastAsia="uk-UA"/>
        </w:rPr>
        <w:t>спеціальність – С1 «Економіка та міжнародні економічні відносини (за спеціалізаціями)»</w:t>
      </w:r>
    </w:p>
    <w:p w14:paraId="769977CF" w14:textId="77777777" w:rsidR="00D82793" w:rsidRPr="00D82793" w:rsidRDefault="00D82793" w:rsidP="00D82793">
      <w:pPr>
        <w:spacing w:after="0" w:line="240" w:lineRule="auto"/>
        <w:jc w:val="center"/>
        <w:rPr>
          <w:rFonts w:ascii="Times New Roman" w:eastAsia="Times New Roman" w:hAnsi="Times New Roman" w:cs="Times New Roman"/>
          <w:color w:val="000000"/>
          <w:sz w:val="24"/>
          <w:szCs w:val="24"/>
          <w:lang w:eastAsia="uk-UA"/>
        </w:rPr>
      </w:pPr>
      <w:r w:rsidRPr="00D82793">
        <w:rPr>
          <w:rFonts w:ascii="Times New Roman" w:eastAsia="Times New Roman" w:hAnsi="Times New Roman" w:cs="Times New Roman"/>
          <w:color w:val="000000"/>
          <w:sz w:val="24"/>
          <w:szCs w:val="24"/>
          <w:lang w:eastAsia="uk-UA"/>
        </w:rPr>
        <w:t>спеціалізація – С1.01 «Економіка»</w:t>
      </w:r>
    </w:p>
    <w:p w14:paraId="73BD278D" w14:textId="5804E724" w:rsidR="002F5AE5" w:rsidRDefault="002F5AE5" w:rsidP="00D82793">
      <w:pPr>
        <w:spacing w:after="0" w:line="240" w:lineRule="auto"/>
        <w:jc w:val="center"/>
        <w:rPr>
          <w:rFonts w:ascii="Times New Roman" w:eastAsia="Times New Roman" w:hAnsi="Times New Roman" w:cs="Times New Roman"/>
          <w:color w:val="000000"/>
          <w:sz w:val="24"/>
          <w:szCs w:val="24"/>
          <w:lang w:val="ru-RU" w:eastAsia="uk-UA"/>
        </w:rPr>
      </w:pPr>
      <w:r w:rsidRPr="002F5AE5">
        <w:rPr>
          <w:rFonts w:ascii="Times New Roman" w:eastAsia="Times New Roman" w:hAnsi="Times New Roman" w:cs="Times New Roman"/>
          <w:color w:val="000000"/>
          <w:sz w:val="24"/>
          <w:szCs w:val="24"/>
          <w:lang w:val="ru-RU" w:eastAsia="uk-UA"/>
        </w:rPr>
        <w:t>освітня програма – «Економіка»</w:t>
      </w:r>
    </w:p>
    <w:p w14:paraId="78964438" w14:textId="55C14D3E" w:rsidR="00D82793" w:rsidRPr="00D82793" w:rsidRDefault="00D82793" w:rsidP="00D82793">
      <w:pPr>
        <w:spacing w:after="0" w:line="240" w:lineRule="auto"/>
        <w:jc w:val="center"/>
        <w:rPr>
          <w:rFonts w:ascii="Times New Roman" w:eastAsia="Times New Roman" w:hAnsi="Times New Roman" w:cs="Times New Roman"/>
          <w:color w:val="000000"/>
          <w:sz w:val="24"/>
          <w:szCs w:val="24"/>
          <w:lang w:eastAsia="uk-UA"/>
        </w:rPr>
      </w:pPr>
      <w:r w:rsidRPr="00D82793">
        <w:rPr>
          <w:rFonts w:ascii="Times New Roman" w:eastAsia="Times New Roman" w:hAnsi="Times New Roman" w:cs="Times New Roman"/>
          <w:color w:val="000000"/>
          <w:sz w:val="24"/>
          <w:szCs w:val="24"/>
          <w:lang w:val="ru-RU" w:eastAsia="uk-UA"/>
        </w:rPr>
        <w:t xml:space="preserve">денної та </w:t>
      </w:r>
      <w:r w:rsidRPr="00D82793">
        <w:rPr>
          <w:rFonts w:ascii="Times New Roman" w:eastAsia="Times New Roman" w:hAnsi="Times New Roman" w:cs="Times New Roman"/>
          <w:color w:val="000000"/>
          <w:sz w:val="24"/>
          <w:szCs w:val="24"/>
          <w:lang w:eastAsia="uk-UA"/>
        </w:rPr>
        <w:t xml:space="preserve">заочної </w:t>
      </w:r>
      <w:r w:rsidRPr="00D82793">
        <w:rPr>
          <w:rFonts w:ascii="Times New Roman" w:eastAsia="Times New Roman" w:hAnsi="Times New Roman" w:cs="Times New Roman"/>
          <w:color w:val="000000"/>
          <w:sz w:val="24"/>
          <w:szCs w:val="24"/>
          <w:lang w:val="ru-RU" w:eastAsia="uk-UA"/>
        </w:rPr>
        <w:t>форм навчання</w:t>
      </w:r>
    </w:p>
    <w:bookmarkEnd w:id="0"/>
    <w:p w14:paraId="0115A39C" w14:textId="77777777" w:rsidR="00D82793" w:rsidRDefault="00D82793" w:rsidP="00D82793">
      <w:pPr>
        <w:widowControl w:val="0"/>
        <w:autoSpaceDE w:val="0"/>
        <w:autoSpaceDN w:val="0"/>
        <w:adjustRightInd w:val="0"/>
        <w:spacing w:after="0" w:line="240" w:lineRule="auto"/>
        <w:contextualSpacing/>
        <w:rPr>
          <w:rFonts w:ascii="Times New Roman" w:eastAsia="Times New Roman" w:hAnsi="Times New Roman" w:cs="Times New Roman"/>
          <w:b/>
          <w:color w:val="000000"/>
          <w:sz w:val="24"/>
          <w:szCs w:val="24"/>
          <w:lang w:eastAsia="uk-UA"/>
        </w:rPr>
      </w:pPr>
    </w:p>
    <w:p w14:paraId="310AF9ED" w14:textId="77777777" w:rsidR="00897647" w:rsidRPr="00D82793" w:rsidRDefault="00897647" w:rsidP="00D82793">
      <w:pPr>
        <w:widowControl w:val="0"/>
        <w:autoSpaceDE w:val="0"/>
        <w:autoSpaceDN w:val="0"/>
        <w:adjustRightInd w:val="0"/>
        <w:spacing w:after="0" w:line="240" w:lineRule="auto"/>
        <w:contextualSpacing/>
        <w:rPr>
          <w:rFonts w:ascii="Times New Roman" w:eastAsia="Times New Roman" w:hAnsi="Times New Roman" w:cs="Times New Roman"/>
          <w:color w:val="000000"/>
          <w:sz w:val="24"/>
          <w:szCs w:val="24"/>
          <w:lang w:eastAsia="uk-UA"/>
        </w:rPr>
      </w:pPr>
    </w:p>
    <w:p w14:paraId="3632460E" w14:textId="77777777" w:rsidR="00D82793" w:rsidRPr="00D82793" w:rsidRDefault="00D82793" w:rsidP="00D82793">
      <w:pPr>
        <w:widowControl w:val="0"/>
        <w:autoSpaceDE w:val="0"/>
        <w:autoSpaceDN w:val="0"/>
        <w:adjustRightInd w:val="0"/>
        <w:spacing w:after="0" w:line="240" w:lineRule="auto"/>
        <w:contextualSpacing/>
        <w:rPr>
          <w:rFonts w:ascii="Times New Roman" w:eastAsia="Times New Roman" w:hAnsi="Times New Roman" w:cs="Times New Roman"/>
          <w:color w:val="000000"/>
          <w:sz w:val="24"/>
          <w:szCs w:val="24"/>
          <w:lang w:eastAsia="uk-UA"/>
        </w:rPr>
      </w:pPr>
    </w:p>
    <w:p w14:paraId="41B64B46" w14:textId="77777777" w:rsidR="00D82793" w:rsidRPr="00D82793" w:rsidRDefault="00D82793" w:rsidP="00D82793">
      <w:pPr>
        <w:widowControl w:val="0"/>
        <w:autoSpaceDE w:val="0"/>
        <w:autoSpaceDN w:val="0"/>
        <w:adjustRightInd w:val="0"/>
        <w:spacing w:after="0" w:line="240" w:lineRule="auto"/>
        <w:contextualSpacing/>
        <w:rPr>
          <w:rFonts w:ascii="Times New Roman" w:eastAsia="Times New Roman" w:hAnsi="Times New Roman" w:cs="Times New Roman"/>
          <w:color w:val="000000"/>
          <w:sz w:val="24"/>
          <w:szCs w:val="24"/>
          <w:lang w:eastAsia="uk-UA"/>
        </w:rPr>
      </w:pPr>
    </w:p>
    <w:p w14:paraId="09A2E1C5" w14:textId="77777777" w:rsidR="00D82793" w:rsidRDefault="00D82793" w:rsidP="00D82793">
      <w:pPr>
        <w:widowControl w:val="0"/>
        <w:autoSpaceDE w:val="0"/>
        <w:autoSpaceDN w:val="0"/>
        <w:adjustRightInd w:val="0"/>
        <w:spacing w:after="0" w:line="240" w:lineRule="auto"/>
        <w:contextualSpacing/>
        <w:rPr>
          <w:rFonts w:ascii="Times New Roman" w:eastAsia="Times New Roman" w:hAnsi="Times New Roman" w:cs="Times New Roman"/>
          <w:color w:val="000000"/>
          <w:sz w:val="24"/>
          <w:szCs w:val="24"/>
          <w:lang w:eastAsia="uk-UA"/>
        </w:rPr>
      </w:pPr>
    </w:p>
    <w:p w14:paraId="60C23187" w14:textId="04096722" w:rsidR="000D37FE" w:rsidRPr="00D82793" w:rsidRDefault="000D37FE" w:rsidP="00D82793">
      <w:pPr>
        <w:widowControl w:val="0"/>
        <w:autoSpaceDE w:val="0"/>
        <w:autoSpaceDN w:val="0"/>
        <w:adjustRightInd w:val="0"/>
        <w:spacing w:after="0" w:line="240" w:lineRule="auto"/>
        <w:contextualSpacing/>
        <w:rPr>
          <w:rFonts w:ascii="Times New Roman" w:eastAsia="Times New Roman" w:hAnsi="Times New Roman" w:cs="Times New Roman"/>
          <w:color w:val="000000"/>
          <w:sz w:val="24"/>
          <w:szCs w:val="24"/>
          <w:lang w:eastAsia="uk-UA"/>
        </w:rPr>
      </w:pPr>
    </w:p>
    <w:p w14:paraId="48BC06E7" w14:textId="77777777" w:rsidR="00D82793" w:rsidRPr="00D82793" w:rsidRDefault="00D82793" w:rsidP="00D82793">
      <w:pPr>
        <w:widowControl w:val="0"/>
        <w:autoSpaceDE w:val="0"/>
        <w:autoSpaceDN w:val="0"/>
        <w:adjustRightInd w:val="0"/>
        <w:spacing w:after="0" w:line="240" w:lineRule="auto"/>
        <w:contextualSpacing/>
        <w:rPr>
          <w:rFonts w:ascii="Times New Roman" w:eastAsia="Times New Roman" w:hAnsi="Times New Roman" w:cs="Times New Roman"/>
          <w:color w:val="000000"/>
          <w:sz w:val="24"/>
          <w:szCs w:val="24"/>
          <w:lang w:eastAsia="uk-UA"/>
        </w:rPr>
      </w:pPr>
    </w:p>
    <w:p w14:paraId="1B3D73A2" w14:textId="36510D24" w:rsidR="000D37FE" w:rsidRDefault="00D82793" w:rsidP="00FF3B82">
      <w:pPr>
        <w:widowControl w:val="0"/>
        <w:tabs>
          <w:tab w:val="center" w:pos="3345"/>
          <w:tab w:val="left" w:pos="4458"/>
        </w:tabs>
        <w:autoSpaceDE w:val="0"/>
        <w:autoSpaceDN w:val="0"/>
        <w:adjustRightInd w:val="0"/>
        <w:spacing w:after="0" w:line="240" w:lineRule="auto"/>
        <w:contextualSpacing/>
        <w:jc w:val="center"/>
        <w:rPr>
          <w:rFonts w:ascii="Times New Roman" w:eastAsia="Times New Roman" w:hAnsi="Times New Roman" w:cs="Times New Roman"/>
          <w:color w:val="000000"/>
          <w:sz w:val="24"/>
          <w:szCs w:val="24"/>
          <w:lang w:eastAsia="uk-UA"/>
        </w:rPr>
      </w:pPr>
      <w:r w:rsidRPr="00D82793">
        <w:rPr>
          <w:rFonts w:ascii="Times New Roman" w:eastAsia="Times New Roman" w:hAnsi="Times New Roman" w:cs="Times New Roman"/>
          <w:color w:val="000000"/>
          <w:sz w:val="24"/>
          <w:szCs w:val="24"/>
          <w:lang w:eastAsia="uk-UA"/>
        </w:rPr>
        <w:t>Луцьк 202</w:t>
      </w:r>
      <w:r w:rsidR="00F13730">
        <w:rPr>
          <w:rFonts w:ascii="Times New Roman" w:eastAsia="Times New Roman" w:hAnsi="Times New Roman" w:cs="Times New Roman"/>
          <w:color w:val="000000"/>
          <w:sz w:val="24"/>
          <w:szCs w:val="24"/>
          <w:lang w:eastAsia="uk-UA"/>
        </w:rPr>
        <w:t>5</w:t>
      </w:r>
    </w:p>
    <w:p w14:paraId="66B887F6" w14:textId="77777777" w:rsidR="00EC7729" w:rsidRPr="00FF3B82" w:rsidRDefault="00EC7729" w:rsidP="00FF3B82">
      <w:pPr>
        <w:widowControl w:val="0"/>
        <w:tabs>
          <w:tab w:val="center" w:pos="3345"/>
          <w:tab w:val="left" w:pos="4458"/>
        </w:tabs>
        <w:autoSpaceDE w:val="0"/>
        <w:autoSpaceDN w:val="0"/>
        <w:adjustRightInd w:val="0"/>
        <w:spacing w:after="0" w:line="240" w:lineRule="auto"/>
        <w:contextualSpacing/>
        <w:jc w:val="center"/>
        <w:rPr>
          <w:rFonts w:ascii="Times New Roman" w:eastAsia="Times New Roman" w:hAnsi="Times New Roman" w:cs="Times New Roman"/>
          <w:color w:val="000000"/>
          <w:sz w:val="24"/>
          <w:szCs w:val="24"/>
          <w:lang w:eastAsia="uk-UA"/>
        </w:rPr>
      </w:pPr>
    </w:p>
    <w:p w14:paraId="4F351F96" w14:textId="06A8F7F7" w:rsidR="00D82793" w:rsidRPr="00D82793" w:rsidRDefault="00D82793" w:rsidP="00D82793">
      <w:pPr>
        <w:spacing w:after="0" w:line="240" w:lineRule="auto"/>
        <w:contextualSpacing/>
        <w:rPr>
          <w:rFonts w:ascii="Times New Roman" w:eastAsia="Times New Roman" w:hAnsi="Times New Roman" w:cs="Times New Roman"/>
          <w:bCs/>
          <w:sz w:val="20"/>
          <w:szCs w:val="20"/>
          <w:highlight w:val="yellow"/>
          <w:lang w:eastAsia="uk-UA"/>
        </w:rPr>
      </w:pPr>
      <w:r w:rsidRPr="00D82793">
        <w:rPr>
          <w:rFonts w:ascii="Times New Roman" w:eastAsia="Times New Roman" w:hAnsi="Times New Roman" w:cs="Times New Roman"/>
          <w:bCs/>
          <w:sz w:val="20"/>
          <w:szCs w:val="20"/>
          <w:lang w:eastAsia="uk-UA"/>
        </w:rPr>
        <w:t xml:space="preserve">УДК </w:t>
      </w:r>
      <w:r w:rsidRPr="00D82793">
        <w:rPr>
          <w:rFonts w:ascii="Times New Roman" w:eastAsia="Times New Roman" w:hAnsi="Times New Roman" w:cs="Times New Roman"/>
          <w:sz w:val="20"/>
          <w:szCs w:val="20"/>
          <w:lang w:eastAsia="ru-RU"/>
        </w:rPr>
        <w:t>330</w:t>
      </w:r>
    </w:p>
    <w:p w14:paraId="4409A485" w14:textId="114B0C8A" w:rsidR="00D82793" w:rsidRPr="00D82793" w:rsidRDefault="00D82793" w:rsidP="00D82793">
      <w:pPr>
        <w:widowControl w:val="0"/>
        <w:autoSpaceDE w:val="0"/>
        <w:autoSpaceDN w:val="0"/>
        <w:adjustRightInd w:val="0"/>
        <w:spacing w:after="0" w:line="240" w:lineRule="auto"/>
        <w:contextualSpacing/>
        <w:rPr>
          <w:rFonts w:ascii="Times New Roman" w:eastAsia="Times New Roman" w:hAnsi="Times New Roman" w:cs="Times New Roman"/>
          <w:color w:val="000000"/>
          <w:sz w:val="20"/>
          <w:szCs w:val="20"/>
          <w:lang w:eastAsia="uk-UA"/>
        </w:rPr>
      </w:pPr>
      <w:r w:rsidRPr="00D82793">
        <w:rPr>
          <w:rFonts w:ascii="Times New Roman" w:eastAsia="Times New Roman" w:hAnsi="Times New Roman" w:cs="Times New Roman"/>
          <w:color w:val="000000"/>
          <w:sz w:val="20"/>
          <w:szCs w:val="20"/>
          <w:lang w:eastAsia="uk-UA"/>
        </w:rPr>
        <w:t xml:space="preserve">         </w:t>
      </w:r>
      <w:r w:rsidR="00897647">
        <w:rPr>
          <w:rFonts w:ascii="Times New Roman" w:eastAsia="Times New Roman" w:hAnsi="Times New Roman" w:cs="Times New Roman"/>
          <w:color w:val="000000"/>
          <w:sz w:val="20"/>
          <w:szCs w:val="20"/>
          <w:lang w:eastAsia="uk-UA"/>
        </w:rPr>
        <w:t>З</w:t>
      </w:r>
      <w:r w:rsidRPr="00D82793">
        <w:rPr>
          <w:rFonts w:ascii="Times New Roman" w:eastAsia="Times New Roman" w:hAnsi="Times New Roman" w:cs="Times New Roman"/>
          <w:color w:val="000000"/>
          <w:sz w:val="20"/>
          <w:szCs w:val="20"/>
          <w:lang w:eastAsia="uk-UA"/>
        </w:rPr>
        <w:t xml:space="preserve"> 45</w:t>
      </w:r>
    </w:p>
    <w:p w14:paraId="40F952CA" w14:textId="77777777" w:rsidR="00D82793" w:rsidRPr="00D82793" w:rsidRDefault="00D82793" w:rsidP="00D82793">
      <w:pPr>
        <w:widowControl w:val="0"/>
        <w:autoSpaceDE w:val="0"/>
        <w:autoSpaceDN w:val="0"/>
        <w:adjustRightInd w:val="0"/>
        <w:spacing w:after="0" w:line="240" w:lineRule="auto"/>
        <w:ind w:firstLine="567"/>
        <w:contextualSpacing/>
        <w:jc w:val="both"/>
        <w:rPr>
          <w:rFonts w:ascii="Times New Roman" w:eastAsia="Times New Roman" w:hAnsi="Times New Roman" w:cs="Times New Roman"/>
          <w:color w:val="000000"/>
          <w:sz w:val="20"/>
          <w:szCs w:val="20"/>
          <w:lang w:eastAsia="uk-UA"/>
        </w:rPr>
      </w:pPr>
    </w:p>
    <w:p w14:paraId="37E9EC5F" w14:textId="77777777" w:rsidR="00D82793" w:rsidRPr="00D82793" w:rsidRDefault="00D82793" w:rsidP="00D82793">
      <w:pPr>
        <w:widowControl w:val="0"/>
        <w:autoSpaceDE w:val="0"/>
        <w:autoSpaceDN w:val="0"/>
        <w:adjustRightInd w:val="0"/>
        <w:spacing w:after="0" w:line="240" w:lineRule="auto"/>
        <w:ind w:firstLine="284"/>
        <w:contextualSpacing/>
        <w:jc w:val="both"/>
        <w:rPr>
          <w:rFonts w:ascii="Times New Roman" w:eastAsia="Times New Roman" w:hAnsi="Times New Roman" w:cs="Times New Roman"/>
          <w:color w:val="000000"/>
          <w:sz w:val="20"/>
          <w:szCs w:val="20"/>
          <w:lang w:val="uk" w:eastAsia="ar-SA"/>
        </w:rPr>
      </w:pPr>
      <w:r w:rsidRPr="00D82793">
        <w:rPr>
          <w:rFonts w:ascii="Times New Roman" w:eastAsia="Times New Roman" w:hAnsi="Times New Roman" w:cs="Times New Roman"/>
          <w:color w:val="000000"/>
          <w:sz w:val="20"/>
          <w:szCs w:val="20"/>
          <w:lang w:val="uk" w:eastAsia="ar-SA"/>
        </w:rPr>
        <w:t>Електронна копія друкованого видання передана для внесення в репозитарій ЛНТУ</w:t>
      </w:r>
    </w:p>
    <w:p w14:paraId="241DBBF3" w14:textId="77777777" w:rsidR="00D82793" w:rsidRPr="00D82793" w:rsidRDefault="00D82793" w:rsidP="00D82793">
      <w:pPr>
        <w:widowControl w:val="0"/>
        <w:autoSpaceDE w:val="0"/>
        <w:autoSpaceDN w:val="0"/>
        <w:adjustRightInd w:val="0"/>
        <w:spacing w:after="0" w:line="240" w:lineRule="auto"/>
        <w:ind w:firstLine="284"/>
        <w:contextualSpacing/>
        <w:jc w:val="both"/>
        <w:rPr>
          <w:rFonts w:ascii="Times New Roman" w:eastAsia="Times New Roman" w:hAnsi="Times New Roman" w:cs="Times New Roman"/>
          <w:color w:val="000000"/>
          <w:sz w:val="20"/>
          <w:szCs w:val="20"/>
          <w:lang w:val="uk" w:eastAsia="ar-SA"/>
        </w:rPr>
      </w:pPr>
      <w:r w:rsidRPr="00D82793">
        <w:rPr>
          <w:rFonts w:ascii="Times New Roman" w:eastAsia="Times New Roman" w:hAnsi="Times New Roman" w:cs="Times New Roman"/>
          <w:color w:val="000000"/>
          <w:sz w:val="20"/>
          <w:szCs w:val="20"/>
          <w:lang w:val="uk" w:eastAsia="ar-SA"/>
        </w:rPr>
        <w:t>Директор бібліотеки ________________ Н.П. Поліщук</w:t>
      </w:r>
    </w:p>
    <w:p w14:paraId="23C01F0A" w14:textId="77777777" w:rsidR="00D82793" w:rsidRPr="00D82793" w:rsidRDefault="00D82793" w:rsidP="00D82793">
      <w:pPr>
        <w:widowControl w:val="0"/>
        <w:autoSpaceDE w:val="0"/>
        <w:autoSpaceDN w:val="0"/>
        <w:adjustRightInd w:val="0"/>
        <w:spacing w:after="0" w:line="240" w:lineRule="auto"/>
        <w:ind w:firstLine="284"/>
        <w:contextualSpacing/>
        <w:jc w:val="both"/>
        <w:rPr>
          <w:rFonts w:ascii="Times New Roman" w:eastAsia="Times New Roman" w:hAnsi="Times New Roman" w:cs="Times New Roman"/>
          <w:color w:val="000000"/>
          <w:sz w:val="20"/>
          <w:szCs w:val="20"/>
          <w:lang w:val="uk" w:eastAsia="ar-SA"/>
        </w:rPr>
      </w:pPr>
      <w:r w:rsidRPr="00D82793">
        <w:rPr>
          <w:rFonts w:ascii="Times New Roman" w:eastAsia="Times New Roman" w:hAnsi="Times New Roman" w:cs="Times New Roman"/>
          <w:color w:val="000000"/>
          <w:sz w:val="20"/>
          <w:szCs w:val="20"/>
          <w:lang w:val="uk" w:eastAsia="ar-SA"/>
        </w:rPr>
        <w:t>Рекомендовано до видання вченою радою факультету бізнесу та права</w:t>
      </w:r>
    </w:p>
    <w:p w14:paraId="1C737A3B" w14:textId="77777777" w:rsidR="00D82793" w:rsidRPr="00D82793" w:rsidRDefault="00D82793" w:rsidP="00D82793">
      <w:pPr>
        <w:widowControl w:val="0"/>
        <w:autoSpaceDE w:val="0"/>
        <w:autoSpaceDN w:val="0"/>
        <w:adjustRightInd w:val="0"/>
        <w:spacing w:after="0" w:line="240" w:lineRule="auto"/>
        <w:ind w:firstLine="284"/>
        <w:contextualSpacing/>
        <w:jc w:val="both"/>
        <w:rPr>
          <w:rFonts w:ascii="Times New Roman" w:eastAsia="Times New Roman" w:hAnsi="Times New Roman" w:cs="Times New Roman"/>
          <w:color w:val="000000"/>
          <w:sz w:val="20"/>
          <w:szCs w:val="20"/>
          <w:lang w:val="uk" w:eastAsia="ar-SA"/>
        </w:rPr>
      </w:pPr>
      <w:r w:rsidRPr="00D82793">
        <w:rPr>
          <w:rFonts w:ascii="Times New Roman" w:eastAsia="Times New Roman" w:hAnsi="Times New Roman" w:cs="Times New Roman"/>
          <w:color w:val="000000"/>
          <w:sz w:val="20"/>
          <w:szCs w:val="20"/>
          <w:lang w:val="uk" w:eastAsia="ar-SA"/>
        </w:rPr>
        <w:t>ЛНТУ, протокол № 1 від «19 » вересня 202</w:t>
      </w:r>
      <w:r w:rsidRPr="00D82793">
        <w:rPr>
          <w:rFonts w:ascii="Times New Roman" w:eastAsia="Times New Roman" w:hAnsi="Times New Roman" w:cs="Times New Roman"/>
          <w:color w:val="000000"/>
          <w:sz w:val="20"/>
          <w:szCs w:val="20"/>
          <w:lang w:val="ru-RU" w:eastAsia="ar-SA"/>
        </w:rPr>
        <w:t xml:space="preserve">5 </w:t>
      </w:r>
      <w:r w:rsidRPr="00D82793">
        <w:rPr>
          <w:rFonts w:ascii="Times New Roman" w:eastAsia="Times New Roman" w:hAnsi="Times New Roman" w:cs="Times New Roman"/>
          <w:color w:val="000000"/>
          <w:sz w:val="20"/>
          <w:szCs w:val="20"/>
          <w:lang w:val="uk" w:eastAsia="ar-SA"/>
        </w:rPr>
        <w:t xml:space="preserve"> року.</w:t>
      </w:r>
    </w:p>
    <w:p w14:paraId="1524FABC" w14:textId="77777777" w:rsidR="00D82793" w:rsidRPr="00D82793" w:rsidRDefault="00D82793" w:rsidP="00D82793">
      <w:pPr>
        <w:widowControl w:val="0"/>
        <w:autoSpaceDE w:val="0"/>
        <w:autoSpaceDN w:val="0"/>
        <w:adjustRightInd w:val="0"/>
        <w:spacing w:after="0" w:line="240" w:lineRule="auto"/>
        <w:ind w:firstLine="284"/>
        <w:contextualSpacing/>
        <w:jc w:val="both"/>
        <w:rPr>
          <w:rFonts w:ascii="Times New Roman" w:eastAsia="Times New Roman" w:hAnsi="Times New Roman" w:cs="Times New Roman"/>
          <w:color w:val="000000"/>
          <w:sz w:val="20"/>
          <w:szCs w:val="20"/>
          <w:lang w:val="uk" w:eastAsia="ar-SA"/>
        </w:rPr>
      </w:pPr>
      <w:r w:rsidRPr="00D82793">
        <w:rPr>
          <w:rFonts w:ascii="Times New Roman" w:eastAsia="Times New Roman" w:hAnsi="Times New Roman" w:cs="Times New Roman"/>
          <w:color w:val="000000"/>
          <w:sz w:val="20"/>
          <w:szCs w:val="20"/>
          <w:lang w:val="uk" w:eastAsia="ar-SA"/>
        </w:rPr>
        <w:t>Голова вченої ради факультету бізнесу та права ________ Ковальська Л.Л.</w:t>
      </w:r>
    </w:p>
    <w:p w14:paraId="46B3B4D8" w14:textId="77777777" w:rsidR="00D82793" w:rsidRPr="00D82793" w:rsidRDefault="00D82793" w:rsidP="00D82793">
      <w:pPr>
        <w:widowControl w:val="0"/>
        <w:autoSpaceDE w:val="0"/>
        <w:autoSpaceDN w:val="0"/>
        <w:adjustRightInd w:val="0"/>
        <w:spacing w:after="0" w:line="240" w:lineRule="auto"/>
        <w:ind w:firstLine="284"/>
        <w:contextualSpacing/>
        <w:jc w:val="both"/>
        <w:rPr>
          <w:rFonts w:ascii="Times New Roman" w:eastAsia="Times New Roman" w:hAnsi="Times New Roman" w:cs="Times New Roman"/>
          <w:color w:val="000000"/>
          <w:sz w:val="20"/>
          <w:szCs w:val="20"/>
          <w:lang w:val="uk" w:eastAsia="ar-SA"/>
        </w:rPr>
      </w:pPr>
      <w:r w:rsidRPr="00D82793">
        <w:rPr>
          <w:rFonts w:ascii="Times New Roman" w:eastAsia="Times New Roman" w:hAnsi="Times New Roman" w:cs="Times New Roman"/>
          <w:color w:val="000000"/>
          <w:sz w:val="20"/>
          <w:szCs w:val="20"/>
          <w:lang w:val="uk" w:eastAsia="ar-SA"/>
        </w:rPr>
        <w:t>Розглянуто і схвалено на засіданні кафедри економіки ЛНТУ,</w:t>
      </w:r>
    </w:p>
    <w:p w14:paraId="772DA54C" w14:textId="77777777" w:rsidR="00D82793" w:rsidRPr="00D82793" w:rsidRDefault="00D82793" w:rsidP="00D82793">
      <w:pPr>
        <w:widowControl w:val="0"/>
        <w:autoSpaceDE w:val="0"/>
        <w:autoSpaceDN w:val="0"/>
        <w:adjustRightInd w:val="0"/>
        <w:spacing w:after="0" w:line="240" w:lineRule="auto"/>
        <w:ind w:firstLine="284"/>
        <w:contextualSpacing/>
        <w:jc w:val="both"/>
        <w:rPr>
          <w:rFonts w:ascii="Times New Roman" w:eastAsia="Times New Roman" w:hAnsi="Times New Roman" w:cs="Times New Roman"/>
          <w:color w:val="000000"/>
          <w:sz w:val="20"/>
          <w:szCs w:val="20"/>
          <w:lang w:val="uk" w:eastAsia="ar-SA"/>
        </w:rPr>
      </w:pPr>
      <w:r w:rsidRPr="00D82793">
        <w:rPr>
          <w:rFonts w:ascii="Times New Roman" w:eastAsia="Times New Roman" w:hAnsi="Times New Roman" w:cs="Times New Roman"/>
          <w:color w:val="000000"/>
          <w:sz w:val="20"/>
          <w:szCs w:val="20"/>
          <w:lang w:val="uk" w:eastAsia="ar-SA"/>
        </w:rPr>
        <w:t>протокол № 1 від «</w:t>
      </w:r>
      <w:r w:rsidRPr="00D82793">
        <w:rPr>
          <w:rFonts w:ascii="Times New Roman" w:eastAsia="Times New Roman" w:hAnsi="Times New Roman" w:cs="Times New Roman"/>
          <w:color w:val="000000"/>
          <w:sz w:val="20"/>
          <w:szCs w:val="20"/>
          <w:lang w:eastAsia="ar-SA"/>
        </w:rPr>
        <w:t xml:space="preserve">19 </w:t>
      </w:r>
      <w:r w:rsidRPr="00D82793">
        <w:rPr>
          <w:rFonts w:ascii="Times New Roman" w:eastAsia="Times New Roman" w:hAnsi="Times New Roman" w:cs="Times New Roman"/>
          <w:color w:val="000000"/>
          <w:sz w:val="20"/>
          <w:szCs w:val="20"/>
          <w:lang w:val="uk" w:eastAsia="ar-SA"/>
        </w:rPr>
        <w:t xml:space="preserve">» </w:t>
      </w:r>
      <w:r w:rsidRPr="00D82793">
        <w:rPr>
          <w:rFonts w:ascii="Times New Roman" w:eastAsia="Times New Roman" w:hAnsi="Times New Roman" w:cs="Times New Roman"/>
          <w:color w:val="000000"/>
          <w:sz w:val="20"/>
          <w:szCs w:val="20"/>
          <w:lang w:eastAsia="ar-SA"/>
        </w:rPr>
        <w:t xml:space="preserve">вересня  </w:t>
      </w:r>
      <w:r w:rsidRPr="00D82793">
        <w:rPr>
          <w:rFonts w:ascii="Times New Roman" w:eastAsia="Times New Roman" w:hAnsi="Times New Roman" w:cs="Times New Roman"/>
          <w:color w:val="000000"/>
          <w:sz w:val="20"/>
          <w:szCs w:val="20"/>
          <w:lang w:val="uk" w:eastAsia="ar-SA"/>
        </w:rPr>
        <w:t>2025 року.</w:t>
      </w:r>
    </w:p>
    <w:p w14:paraId="2D2B44DA" w14:textId="77777777" w:rsidR="00D82793" w:rsidRPr="00D82793" w:rsidRDefault="00D82793" w:rsidP="00D82793">
      <w:pPr>
        <w:widowControl w:val="0"/>
        <w:autoSpaceDE w:val="0"/>
        <w:autoSpaceDN w:val="0"/>
        <w:adjustRightInd w:val="0"/>
        <w:spacing w:after="0" w:line="240" w:lineRule="auto"/>
        <w:ind w:firstLine="284"/>
        <w:contextualSpacing/>
        <w:jc w:val="both"/>
        <w:rPr>
          <w:rFonts w:ascii="Times New Roman" w:eastAsia="Times New Roman" w:hAnsi="Times New Roman" w:cs="Times New Roman"/>
          <w:color w:val="000000"/>
          <w:sz w:val="20"/>
          <w:szCs w:val="20"/>
          <w:lang w:val="uk" w:eastAsia="ar-SA"/>
        </w:rPr>
      </w:pPr>
      <w:r w:rsidRPr="00D82793">
        <w:rPr>
          <w:rFonts w:ascii="Times New Roman" w:eastAsia="Times New Roman" w:hAnsi="Times New Roman" w:cs="Times New Roman"/>
          <w:color w:val="000000"/>
          <w:sz w:val="20"/>
          <w:szCs w:val="20"/>
          <w:lang w:val="uk" w:eastAsia="ar-SA"/>
        </w:rPr>
        <w:t>Завідувач кафедри економіки _______ О.М. Шубалий</w:t>
      </w:r>
    </w:p>
    <w:p w14:paraId="6FFD3CEE" w14:textId="77777777" w:rsidR="00D82793" w:rsidRPr="00D82793" w:rsidRDefault="00D82793" w:rsidP="00D82793">
      <w:pPr>
        <w:widowControl w:val="0"/>
        <w:autoSpaceDE w:val="0"/>
        <w:autoSpaceDN w:val="0"/>
        <w:adjustRightInd w:val="0"/>
        <w:spacing w:after="0" w:line="240" w:lineRule="auto"/>
        <w:ind w:firstLine="284"/>
        <w:contextualSpacing/>
        <w:jc w:val="both"/>
        <w:rPr>
          <w:rFonts w:ascii="Times New Roman" w:eastAsia="Times New Roman" w:hAnsi="Times New Roman" w:cs="Times New Roman"/>
          <w:color w:val="000000"/>
          <w:sz w:val="20"/>
          <w:szCs w:val="20"/>
          <w:lang w:val="uk" w:eastAsia="ar-SA"/>
        </w:rPr>
      </w:pPr>
    </w:p>
    <w:p w14:paraId="2C4FCD0E" w14:textId="67DF8041" w:rsidR="00C37F1C" w:rsidRPr="00D82793" w:rsidRDefault="00D82793" w:rsidP="008F46D2">
      <w:pPr>
        <w:widowControl w:val="0"/>
        <w:autoSpaceDE w:val="0"/>
        <w:autoSpaceDN w:val="0"/>
        <w:adjustRightInd w:val="0"/>
        <w:spacing w:after="0" w:line="240" w:lineRule="auto"/>
        <w:ind w:firstLine="284"/>
        <w:contextualSpacing/>
        <w:jc w:val="both"/>
        <w:rPr>
          <w:rFonts w:ascii="Times New Roman" w:eastAsia="Times New Roman" w:hAnsi="Times New Roman" w:cs="Times New Roman"/>
          <w:color w:val="000000"/>
          <w:sz w:val="20"/>
          <w:szCs w:val="20"/>
          <w:lang w:val="uk" w:eastAsia="ar-SA"/>
        </w:rPr>
      </w:pPr>
      <w:r w:rsidRPr="00D82793">
        <w:rPr>
          <w:rFonts w:ascii="Times New Roman" w:eastAsia="Times New Roman" w:hAnsi="Times New Roman" w:cs="Times New Roman"/>
          <w:color w:val="000000"/>
          <w:sz w:val="20"/>
          <w:szCs w:val="20"/>
          <w:lang w:val="uk" w:eastAsia="ar-SA"/>
        </w:rPr>
        <w:t xml:space="preserve">Укладач: ______________ </w:t>
      </w:r>
      <w:r w:rsidR="00CD0F11">
        <w:rPr>
          <w:rFonts w:ascii="Times New Roman" w:eastAsia="Times New Roman" w:hAnsi="Times New Roman" w:cs="Times New Roman"/>
          <w:color w:val="000000"/>
          <w:sz w:val="20"/>
          <w:szCs w:val="20"/>
          <w:lang w:val="uk" w:eastAsia="ar-SA"/>
        </w:rPr>
        <w:t xml:space="preserve"> </w:t>
      </w:r>
      <w:r w:rsidRPr="00D82793">
        <w:rPr>
          <w:rFonts w:ascii="Times New Roman" w:eastAsia="Times New Roman" w:hAnsi="Times New Roman" w:cs="Times New Roman"/>
          <w:color w:val="000000"/>
          <w:sz w:val="20"/>
          <w:szCs w:val="20"/>
          <w:lang w:val="uk" w:eastAsia="ar-SA"/>
        </w:rPr>
        <w:t>О.А. Хілуха, кандидат економічних наук доцент</w:t>
      </w:r>
      <w:r w:rsidR="00AB4822">
        <w:rPr>
          <w:rFonts w:ascii="Times New Roman" w:eastAsia="Times New Roman" w:hAnsi="Times New Roman" w:cs="Times New Roman"/>
          <w:color w:val="000000"/>
          <w:sz w:val="20"/>
          <w:szCs w:val="20"/>
          <w:lang w:val="uk" w:eastAsia="ar-SA"/>
        </w:rPr>
        <w:t xml:space="preserve">, </w:t>
      </w:r>
      <w:r w:rsidR="00AB4822" w:rsidRPr="00D82793">
        <w:rPr>
          <w:rFonts w:ascii="Times New Roman" w:eastAsia="Times New Roman" w:hAnsi="Times New Roman" w:cs="Times New Roman"/>
          <w:color w:val="000000"/>
          <w:sz w:val="20"/>
          <w:szCs w:val="20"/>
          <w:lang w:val="uk" w:eastAsia="ar-SA"/>
        </w:rPr>
        <w:t>доцент кафедри економіки ЛНТУ</w:t>
      </w:r>
      <w:r w:rsidR="00C37F1C">
        <w:rPr>
          <w:rFonts w:ascii="Times New Roman" w:eastAsia="Times New Roman" w:hAnsi="Times New Roman" w:cs="Times New Roman"/>
          <w:color w:val="000000"/>
          <w:sz w:val="20"/>
          <w:szCs w:val="20"/>
          <w:lang w:val="uk" w:eastAsia="ar-SA"/>
        </w:rPr>
        <w:t>,</w:t>
      </w:r>
      <w:r w:rsidR="00EB5E13" w:rsidRPr="00EB5E13">
        <w:rPr>
          <w:rFonts w:ascii="Times New Roman" w:eastAsia="Times New Roman" w:hAnsi="Times New Roman" w:cs="Times New Roman"/>
          <w:color w:val="000000"/>
          <w:sz w:val="20"/>
          <w:szCs w:val="20"/>
          <w:lang w:val="uk" w:eastAsia="ar-SA"/>
        </w:rPr>
        <w:t>__________</w:t>
      </w:r>
      <w:r w:rsidR="00C37F1C">
        <w:rPr>
          <w:rFonts w:ascii="Times New Roman" w:eastAsia="Times New Roman" w:hAnsi="Times New Roman" w:cs="Times New Roman"/>
          <w:color w:val="000000"/>
          <w:sz w:val="20"/>
          <w:szCs w:val="20"/>
          <w:lang w:val="uk" w:eastAsia="ar-SA"/>
        </w:rPr>
        <w:t>П</w:t>
      </w:r>
      <w:r w:rsidR="00C37F1C" w:rsidRPr="00D82793">
        <w:rPr>
          <w:rFonts w:ascii="Times New Roman" w:eastAsia="Times New Roman" w:hAnsi="Times New Roman" w:cs="Times New Roman"/>
          <w:color w:val="000000"/>
          <w:sz w:val="20"/>
          <w:szCs w:val="20"/>
          <w:lang w:val="uk" w:eastAsia="ar-SA"/>
        </w:rPr>
        <w:t>.</w:t>
      </w:r>
      <w:r w:rsidR="00C37F1C">
        <w:rPr>
          <w:rFonts w:ascii="Times New Roman" w:eastAsia="Times New Roman" w:hAnsi="Times New Roman" w:cs="Times New Roman"/>
          <w:color w:val="000000"/>
          <w:sz w:val="20"/>
          <w:szCs w:val="20"/>
          <w:lang w:val="uk" w:eastAsia="ar-SA"/>
        </w:rPr>
        <w:t xml:space="preserve"> М</w:t>
      </w:r>
      <w:r w:rsidR="00C37F1C" w:rsidRPr="00D82793">
        <w:rPr>
          <w:rFonts w:ascii="Times New Roman" w:eastAsia="Times New Roman" w:hAnsi="Times New Roman" w:cs="Times New Roman"/>
          <w:color w:val="000000"/>
          <w:sz w:val="20"/>
          <w:szCs w:val="20"/>
          <w:lang w:val="uk" w:eastAsia="ar-SA"/>
        </w:rPr>
        <w:t xml:space="preserve">. </w:t>
      </w:r>
      <w:r w:rsidR="00C37F1C">
        <w:rPr>
          <w:rFonts w:ascii="Times New Roman" w:eastAsia="Times New Roman" w:hAnsi="Times New Roman" w:cs="Times New Roman"/>
          <w:color w:val="000000"/>
          <w:sz w:val="20"/>
          <w:szCs w:val="20"/>
          <w:lang w:val="uk" w:eastAsia="ar-SA"/>
        </w:rPr>
        <w:t xml:space="preserve">Косінський </w:t>
      </w:r>
      <w:r w:rsidR="00C37F1C" w:rsidRPr="00D82793">
        <w:rPr>
          <w:rFonts w:ascii="Times New Roman" w:eastAsia="Times New Roman" w:hAnsi="Times New Roman" w:cs="Times New Roman"/>
          <w:color w:val="000000"/>
          <w:sz w:val="20"/>
          <w:szCs w:val="20"/>
          <w:lang w:val="uk" w:eastAsia="ar-SA"/>
        </w:rPr>
        <w:t>кандидат економічних наук, доцент, доцент кафедри економіки ЛНТУ.</w:t>
      </w:r>
    </w:p>
    <w:p w14:paraId="57C67C67" w14:textId="77777777" w:rsidR="00D82793" w:rsidRPr="00D82793" w:rsidRDefault="00D82793" w:rsidP="00C37F1C">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20"/>
          <w:szCs w:val="20"/>
          <w:lang w:val="uk" w:eastAsia="ar-SA"/>
        </w:rPr>
      </w:pPr>
    </w:p>
    <w:p w14:paraId="749F6B0F" w14:textId="78B48624" w:rsidR="00D82793" w:rsidRPr="00D82793" w:rsidRDefault="00D82793" w:rsidP="00D82793">
      <w:pPr>
        <w:widowControl w:val="0"/>
        <w:autoSpaceDE w:val="0"/>
        <w:autoSpaceDN w:val="0"/>
        <w:adjustRightInd w:val="0"/>
        <w:spacing w:after="0" w:line="240" w:lineRule="auto"/>
        <w:ind w:firstLine="284"/>
        <w:contextualSpacing/>
        <w:jc w:val="both"/>
        <w:rPr>
          <w:rFonts w:ascii="Times New Roman" w:eastAsia="Times New Roman" w:hAnsi="Times New Roman" w:cs="Times New Roman"/>
          <w:color w:val="000000"/>
          <w:sz w:val="20"/>
          <w:szCs w:val="20"/>
          <w:lang w:val="uk" w:eastAsia="ar-SA"/>
        </w:rPr>
      </w:pPr>
      <w:bookmarkStart w:id="1" w:name="_Hlk208173426"/>
      <w:r w:rsidRPr="00D82793">
        <w:rPr>
          <w:rFonts w:ascii="Times New Roman" w:eastAsia="Times New Roman" w:hAnsi="Times New Roman" w:cs="Times New Roman"/>
          <w:color w:val="000000"/>
          <w:sz w:val="20"/>
          <w:szCs w:val="20"/>
          <w:lang w:val="uk" w:eastAsia="ar-SA"/>
        </w:rPr>
        <w:t xml:space="preserve">Рецензент: ______________ </w:t>
      </w:r>
      <w:r w:rsidR="00C37F1C">
        <w:rPr>
          <w:rFonts w:ascii="Times New Roman" w:eastAsia="Times New Roman" w:hAnsi="Times New Roman" w:cs="Times New Roman"/>
          <w:color w:val="000000"/>
          <w:sz w:val="20"/>
          <w:szCs w:val="20"/>
          <w:lang w:val="uk" w:eastAsia="ar-SA"/>
        </w:rPr>
        <w:t>А</w:t>
      </w:r>
      <w:r w:rsidRPr="00D82793">
        <w:rPr>
          <w:rFonts w:ascii="Times New Roman" w:eastAsia="Times New Roman" w:hAnsi="Times New Roman" w:cs="Times New Roman"/>
          <w:color w:val="000000"/>
          <w:sz w:val="20"/>
          <w:szCs w:val="20"/>
          <w:lang w:val="uk" w:eastAsia="ar-SA"/>
        </w:rPr>
        <w:t>.</w:t>
      </w:r>
      <w:r w:rsidR="00AB4822">
        <w:rPr>
          <w:rFonts w:ascii="Times New Roman" w:eastAsia="Times New Roman" w:hAnsi="Times New Roman" w:cs="Times New Roman"/>
          <w:color w:val="000000"/>
          <w:sz w:val="20"/>
          <w:szCs w:val="20"/>
          <w:lang w:val="uk" w:eastAsia="ar-SA"/>
        </w:rPr>
        <w:t xml:space="preserve"> </w:t>
      </w:r>
      <w:r w:rsidR="00C37F1C">
        <w:rPr>
          <w:rFonts w:ascii="Times New Roman" w:eastAsia="Times New Roman" w:hAnsi="Times New Roman" w:cs="Times New Roman"/>
          <w:color w:val="000000"/>
          <w:sz w:val="20"/>
          <w:szCs w:val="20"/>
          <w:lang w:val="uk" w:eastAsia="ar-SA"/>
        </w:rPr>
        <w:t>І</w:t>
      </w:r>
      <w:r w:rsidRPr="00D82793">
        <w:rPr>
          <w:rFonts w:ascii="Times New Roman" w:eastAsia="Times New Roman" w:hAnsi="Times New Roman" w:cs="Times New Roman"/>
          <w:color w:val="000000"/>
          <w:sz w:val="20"/>
          <w:szCs w:val="20"/>
          <w:lang w:val="uk" w:eastAsia="ar-SA"/>
        </w:rPr>
        <w:t xml:space="preserve">. </w:t>
      </w:r>
      <w:r w:rsidR="00C37F1C">
        <w:rPr>
          <w:rFonts w:ascii="Times New Roman" w:eastAsia="Times New Roman" w:hAnsi="Times New Roman" w:cs="Times New Roman"/>
          <w:color w:val="000000"/>
          <w:sz w:val="20"/>
          <w:szCs w:val="20"/>
          <w:lang w:val="uk" w:eastAsia="ar-SA"/>
        </w:rPr>
        <w:t>Гордійчук</w:t>
      </w:r>
      <w:r w:rsidR="00AB4822">
        <w:rPr>
          <w:rFonts w:ascii="Times New Roman" w:eastAsia="Times New Roman" w:hAnsi="Times New Roman" w:cs="Times New Roman"/>
          <w:color w:val="000000"/>
          <w:sz w:val="20"/>
          <w:szCs w:val="20"/>
          <w:lang w:val="uk" w:eastAsia="ar-SA"/>
        </w:rPr>
        <w:t xml:space="preserve"> </w:t>
      </w:r>
      <w:r w:rsidRPr="00D82793">
        <w:rPr>
          <w:rFonts w:ascii="Times New Roman" w:eastAsia="Times New Roman" w:hAnsi="Times New Roman" w:cs="Times New Roman"/>
          <w:color w:val="000000"/>
          <w:sz w:val="20"/>
          <w:szCs w:val="20"/>
          <w:lang w:val="uk" w:eastAsia="ar-SA"/>
        </w:rPr>
        <w:t>кандидат економічних наук, доцент, доцент кафедри економіки ЛНТУ.</w:t>
      </w:r>
    </w:p>
    <w:bookmarkEnd w:id="1"/>
    <w:p w14:paraId="22DB1104" w14:textId="77777777" w:rsidR="00D82793" w:rsidRPr="00D82793" w:rsidRDefault="00D82793" w:rsidP="00D82793">
      <w:pPr>
        <w:widowControl w:val="0"/>
        <w:autoSpaceDE w:val="0"/>
        <w:autoSpaceDN w:val="0"/>
        <w:adjustRightInd w:val="0"/>
        <w:spacing w:after="0" w:line="240" w:lineRule="auto"/>
        <w:ind w:firstLine="284"/>
        <w:contextualSpacing/>
        <w:jc w:val="both"/>
        <w:rPr>
          <w:rFonts w:ascii="Times New Roman" w:eastAsia="Times New Roman" w:hAnsi="Times New Roman" w:cs="Times New Roman"/>
          <w:color w:val="000000"/>
          <w:sz w:val="20"/>
          <w:szCs w:val="20"/>
          <w:lang w:val="uk" w:eastAsia="ar-SA"/>
        </w:rPr>
      </w:pPr>
    </w:p>
    <w:p w14:paraId="492895F4" w14:textId="77777777" w:rsidR="00D82793" w:rsidRPr="00D82793" w:rsidRDefault="00D82793" w:rsidP="00D82793">
      <w:pPr>
        <w:widowControl w:val="0"/>
        <w:autoSpaceDE w:val="0"/>
        <w:autoSpaceDN w:val="0"/>
        <w:adjustRightInd w:val="0"/>
        <w:spacing w:after="0" w:line="240" w:lineRule="auto"/>
        <w:ind w:firstLine="284"/>
        <w:contextualSpacing/>
        <w:jc w:val="both"/>
        <w:rPr>
          <w:rFonts w:ascii="Times New Roman" w:eastAsia="Times New Roman" w:hAnsi="Times New Roman" w:cs="Times New Roman"/>
          <w:color w:val="000000"/>
          <w:sz w:val="20"/>
          <w:szCs w:val="20"/>
          <w:lang w:val="uk" w:eastAsia="ar-SA"/>
        </w:rPr>
      </w:pPr>
      <w:r w:rsidRPr="00D82793">
        <w:rPr>
          <w:rFonts w:ascii="Times New Roman" w:eastAsia="Times New Roman" w:hAnsi="Times New Roman" w:cs="Times New Roman"/>
          <w:color w:val="000000"/>
          <w:sz w:val="20"/>
          <w:szCs w:val="20"/>
          <w:lang w:val="uk" w:eastAsia="ar-SA"/>
        </w:rPr>
        <w:t>Відповідальний за випуск: ____________ О.М. Шубалий, доктор економічних наук, професор, завідувач кафедри економіки ЛНТУ.</w:t>
      </w:r>
    </w:p>
    <w:p w14:paraId="350D80C4" w14:textId="77777777" w:rsidR="00D82793" w:rsidRPr="00D82793" w:rsidRDefault="00D82793" w:rsidP="00D82793">
      <w:pPr>
        <w:widowControl w:val="0"/>
        <w:autoSpaceDE w:val="0"/>
        <w:autoSpaceDN w:val="0"/>
        <w:adjustRightInd w:val="0"/>
        <w:spacing w:after="0" w:line="240" w:lineRule="auto"/>
        <w:ind w:firstLine="284"/>
        <w:contextualSpacing/>
        <w:jc w:val="both"/>
        <w:rPr>
          <w:rFonts w:ascii="Times New Roman" w:eastAsia="Times New Roman" w:hAnsi="Times New Roman" w:cs="Times New Roman"/>
          <w:color w:val="000000"/>
          <w:sz w:val="20"/>
          <w:szCs w:val="20"/>
          <w:lang w:eastAsia="ar-SA"/>
        </w:rPr>
      </w:pPr>
      <w:r w:rsidRPr="00D82793">
        <w:rPr>
          <w:rFonts w:ascii="Times New Roman" w:eastAsia="Times New Roman" w:hAnsi="Times New Roman" w:cs="Times New Roman"/>
          <w:color w:val="000000"/>
          <w:sz w:val="20"/>
          <w:szCs w:val="20"/>
          <w:lang w:eastAsia="ar-SA"/>
        </w:rPr>
        <w:t>.</w:t>
      </w:r>
    </w:p>
    <w:p w14:paraId="5BE0B915" w14:textId="77777777" w:rsidR="00D82793" w:rsidRPr="00D82793" w:rsidRDefault="00D82793" w:rsidP="00C37F1C">
      <w:pPr>
        <w:widowControl w:val="0"/>
        <w:autoSpaceDE w:val="0"/>
        <w:autoSpaceDN w:val="0"/>
        <w:adjustRightInd w:val="0"/>
        <w:spacing w:after="0" w:line="360" w:lineRule="auto"/>
        <w:contextualSpacing/>
        <w:jc w:val="both"/>
        <w:rPr>
          <w:rFonts w:ascii="Times New Roman" w:eastAsia="Times New Roman" w:hAnsi="Times New Roman" w:cs="Times New Roman"/>
          <w:color w:val="000000"/>
          <w:sz w:val="20"/>
          <w:szCs w:val="20"/>
          <w:lang w:eastAsia="ar-SA"/>
        </w:rPr>
      </w:pPr>
    </w:p>
    <w:tbl>
      <w:tblPr>
        <w:tblStyle w:val="TableGrid"/>
        <w:tblW w:w="0" w:type="auto"/>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11"/>
        <w:gridCol w:w="5754"/>
      </w:tblGrid>
      <w:tr w:rsidR="00D82793" w:rsidRPr="00C37F1C" w14:paraId="15C9412C" w14:textId="77777777" w:rsidTr="00E91D0D">
        <w:trPr>
          <w:trHeight w:val="904"/>
        </w:trPr>
        <w:tc>
          <w:tcPr>
            <w:tcW w:w="1122" w:type="dxa"/>
          </w:tcPr>
          <w:p w14:paraId="57294001" w14:textId="77777777" w:rsidR="00D82793" w:rsidRPr="00C37F1C" w:rsidRDefault="00D82793" w:rsidP="00D82793">
            <w:pPr>
              <w:widowControl w:val="0"/>
              <w:autoSpaceDE w:val="0"/>
              <w:autoSpaceDN w:val="0"/>
              <w:adjustRightInd w:val="0"/>
              <w:spacing w:line="360" w:lineRule="auto"/>
              <w:ind w:firstLine="567"/>
              <w:contextualSpacing/>
              <w:jc w:val="both"/>
              <w:rPr>
                <w:rFonts w:eastAsia="Times New Roman"/>
                <w:color w:val="000000"/>
              </w:rPr>
            </w:pPr>
          </w:p>
          <w:p w14:paraId="64895D59" w14:textId="4D723365" w:rsidR="00D82793" w:rsidRPr="00C37F1C" w:rsidRDefault="009F0A2C" w:rsidP="00D82793">
            <w:pPr>
              <w:widowControl w:val="0"/>
              <w:autoSpaceDE w:val="0"/>
              <w:autoSpaceDN w:val="0"/>
              <w:adjustRightInd w:val="0"/>
              <w:spacing w:line="360" w:lineRule="auto"/>
              <w:contextualSpacing/>
              <w:jc w:val="center"/>
              <w:rPr>
                <w:rFonts w:eastAsia="Times New Roman"/>
                <w:color w:val="000000"/>
              </w:rPr>
            </w:pPr>
            <w:r w:rsidRPr="00C37F1C">
              <w:rPr>
                <w:rFonts w:eastAsia="Times New Roman"/>
                <w:color w:val="000000"/>
              </w:rPr>
              <w:t>З</w:t>
            </w:r>
            <w:r w:rsidR="00D82793" w:rsidRPr="00C37F1C">
              <w:rPr>
                <w:rFonts w:eastAsia="Times New Roman"/>
                <w:color w:val="000000"/>
              </w:rPr>
              <w:t xml:space="preserve"> 45</w:t>
            </w:r>
          </w:p>
        </w:tc>
        <w:tc>
          <w:tcPr>
            <w:tcW w:w="5888" w:type="dxa"/>
          </w:tcPr>
          <w:p w14:paraId="04CF0A42" w14:textId="58FC5DAA" w:rsidR="00D82793" w:rsidRPr="00C37F1C" w:rsidRDefault="009F0A2C" w:rsidP="00D82793">
            <w:pPr>
              <w:widowControl w:val="0"/>
              <w:autoSpaceDE w:val="0"/>
              <w:autoSpaceDN w:val="0"/>
              <w:adjustRightInd w:val="0"/>
              <w:contextualSpacing/>
              <w:jc w:val="both"/>
              <w:rPr>
                <w:rFonts w:eastAsia="Times New Roman"/>
              </w:rPr>
            </w:pPr>
            <w:bookmarkStart w:id="2" w:name="_Hlk223432776"/>
            <w:r w:rsidRPr="00C37F1C">
              <w:rPr>
                <w:rFonts w:eastAsia="Times New Roman"/>
              </w:rPr>
              <w:t>Зелена економіка</w:t>
            </w:r>
            <w:r w:rsidR="00C37F1C" w:rsidRPr="00C37F1C">
              <w:rPr>
                <w:rFonts w:eastAsia="Times New Roman"/>
              </w:rPr>
              <w:t xml:space="preserve"> :</w:t>
            </w:r>
            <w:r w:rsidR="00D82793" w:rsidRPr="00C37F1C">
              <w:rPr>
                <w:rFonts w:eastAsia="Times New Roman"/>
              </w:rPr>
              <w:t xml:space="preserve"> </w:t>
            </w:r>
            <w:r w:rsidR="00C37F1C" w:rsidRPr="00C37F1C">
              <w:t>конспект лекцій  для здобувачів першого бакалаврського рівня вищої освіти освітньої програми «</w:t>
            </w:r>
            <w:r w:rsidR="00483CFA">
              <w:t>Економіка</w:t>
            </w:r>
            <w:r w:rsidR="00C37F1C" w:rsidRPr="00C37F1C">
              <w:t>» галузі знань С «Соціальні науки, журналістика, інформація та міжнародні відносини», спеціальність С1 «Економіка та міжнародні економічні відносини (за спеціалізаціями)» спеціалізація С1.01 «Економіка», денної та заочної форм навчання / уклад. О. А. Хілуха</w:t>
            </w:r>
            <w:r w:rsidR="0008704A">
              <w:t>, П. М. Косінс</w:t>
            </w:r>
            <w:r w:rsidR="00DB2A77">
              <w:t>ький.</w:t>
            </w:r>
            <w:r w:rsidR="0008704A">
              <w:t xml:space="preserve"> </w:t>
            </w:r>
            <w:r w:rsidR="00C37F1C" w:rsidRPr="00C37F1C">
              <w:t xml:space="preserve">Луцьк: </w:t>
            </w:r>
            <w:r w:rsidR="00C37F1C" w:rsidRPr="00C37F1C">
              <w:rPr>
                <w:lang w:eastAsia="ar-SA"/>
              </w:rPr>
              <w:t xml:space="preserve">ЛНТУ, 2025. </w:t>
            </w:r>
            <w:bookmarkStart w:id="3" w:name="_Hlk208167428"/>
            <w:bookmarkEnd w:id="2"/>
            <w:r w:rsidR="00EC7729" w:rsidRPr="00C37F1C">
              <w:rPr>
                <w:rFonts w:eastAsia="Times New Roman"/>
                <w:lang w:eastAsia="ar-SA"/>
              </w:rPr>
              <w:t>13</w:t>
            </w:r>
            <w:r w:rsidR="00C37221" w:rsidRPr="00C37F1C">
              <w:rPr>
                <w:rFonts w:eastAsia="Times New Roman"/>
                <w:lang w:eastAsia="ar-SA"/>
              </w:rPr>
              <w:t>2</w:t>
            </w:r>
            <w:r w:rsidR="00D82793" w:rsidRPr="00C37F1C">
              <w:rPr>
                <w:rFonts w:eastAsia="Times New Roman"/>
                <w:lang w:eastAsia="ar-SA"/>
              </w:rPr>
              <w:t xml:space="preserve"> с.</w:t>
            </w:r>
            <w:bookmarkEnd w:id="3"/>
          </w:p>
        </w:tc>
      </w:tr>
    </w:tbl>
    <w:p w14:paraId="164E3FC1" w14:textId="77777777" w:rsidR="00D82793" w:rsidRPr="00D82793" w:rsidRDefault="00D82793" w:rsidP="00D82793">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20"/>
          <w:szCs w:val="20"/>
          <w:lang w:eastAsia="ar-SA"/>
        </w:rPr>
      </w:pPr>
    </w:p>
    <w:p w14:paraId="70D44F20" w14:textId="77777777" w:rsidR="00D82793" w:rsidRPr="00D82793" w:rsidRDefault="00D82793" w:rsidP="00D82793">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20"/>
          <w:szCs w:val="20"/>
          <w:lang w:eastAsia="ar-SA"/>
        </w:rPr>
      </w:pPr>
    </w:p>
    <w:p w14:paraId="1BEC63B5" w14:textId="77777777" w:rsidR="00D82793" w:rsidRPr="00D82793" w:rsidRDefault="00D82793" w:rsidP="00D82793">
      <w:pPr>
        <w:widowControl w:val="0"/>
        <w:autoSpaceDE w:val="0"/>
        <w:autoSpaceDN w:val="0"/>
        <w:adjustRightInd w:val="0"/>
        <w:spacing w:after="0" w:line="240" w:lineRule="auto"/>
        <w:ind w:firstLine="360"/>
        <w:contextualSpacing/>
        <w:jc w:val="both"/>
        <w:rPr>
          <w:rFonts w:ascii="Times New Roman" w:eastAsia="Times New Roman" w:hAnsi="Times New Roman" w:cs="Times New Roman"/>
          <w:color w:val="000000"/>
          <w:sz w:val="20"/>
          <w:szCs w:val="20"/>
          <w:lang w:eastAsia="ar-SA"/>
        </w:rPr>
      </w:pPr>
    </w:p>
    <w:p w14:paraId="56B9CB94" w14:textId="77777777" w:rsidR="00D82793" w:rsidRPr="00D82793" w:rsidRDefault="00D82793" w:rsidP="00D82793">
      <w:pPr>
        <w:widowControl w:val="0"/>
        <w:autoSpaceDE w:val="0"/>
        <w:autoSpaceDN w:val="0"/>
        <w:adjustRightInd w:val="0"/>
        <w:spacing w:after="0" w:line="240" w:lineRule="auto"/>
        <w:ind w:firstLine="284"/>
        <w:contextualSpacing/>
        <w:jc w:val="both"/>
        <w:rPr>
          <w:rFonts w:ascii="Times New Roman" w:eastAsia="Times New Roman" w:hAnsi="Times New Roman" w:cs="Times New Roman"/>
          <w:color w:val="000000"/>
          <w:sz w:val="20"/>
          <w:szCs w:val="20"/>
          <w:lang w:eastAsia="uk-UA"/>
        </w:rPr>
      </w:pPr>
      <w:r w:rsidRPr="00D82793">
        <w:rPr>
          <w:rFonts w:ascii="Times New Roman" w:eastAsia="Times New Roman" w:hAnsi="Times New Roman" w:cs="Times New Roman"/>
          <w:color w:val="000000"/>
          <w:sz w:val="20"/>
          <w:szCs w:val="20"/>
          <w:lang w:eastAsia="uk-UA"/>
        </w:rPr>
        <w:t>Видання містить плани та основний зміст лекційних занять, список рекомендованої літератури. Призначене для студентів економічних спеціальностей</w:t>
      </w:r>
    </w:p>
    <w:p w14:paraId="30C3C8C7" w14:textId="3FA610DC" w:rsidR="00D82793" w:rsidRPr="00D82793" w:rsidRDefault="00D82793" w:rsidP="00D82793">
      <w:pPr>
        <w:widowControl w:val="0"/>
        <w:autoSpaceDE w:val="0"/>
        <w:autoSpaceDN w:val="0"/>
        <w:adjustRightInd w:val="0"/>
        <w:spacing w:after="0" w:line="240" w:lineRule="auto"/>
        <w:ind w:firstLine="540"/>
        <w:contextualSpacing/>
        <w:jc w:val="right"/>
        <w:rPr>
          <w:rFonts w:ascii="Times New Roman" w:eastAsia="Times New Roman" w:hAnsi="Times New Roman" w:cs="Times New Roman"/>
          <w:color w:val="000000"/>
          <w:sz w:val="18"/>
          <w:szCs w:val="18"/>
          <w:lang w:eastAsia="ar-SA"/>
        </w:rPr>
      </w:pPr>
    </w:p>
    <w:p w14:paraId="61FA563A" w14:textId="2D0F881D" w:rsidR="00D82793" w:rsidRPr="00D82793" w:rsidRDefault="00D82793" w:rsidP="00D82793">
      <w:pPr>
        <w:widowControl w:val="0"/>
        <w:autoSpaceDE w:val="0"/>
        <w:autoSpaceDN w:val="0"/>
        <w:adjustRightInd w:val="0"/>
        <w:spacing w:after="0" w:line="240" w:lineRule="auto"/>
        <w:ind w:firstLine="540"/>
        <w:contextualSpacing/>
        <w:jc w:val="right"/>
        <w:rPr>
          <w:rFonts w:ascii="Times New Roman" w:eastAsia="Times New Roman" w:hAnsi="Times New Roman" w:cs="Times New Roman"/>
          <w:color w:val="000000"/>
          <w:sz w:val="18"/>
          <w:szCs w:val="18"/>
          <w:lang w:eastAsia="ar-SA"/>
        </w:rPr>
      </w:pPr>
      <w:r w:rsidRPr="00D82793">
        <w:rPr>
          <w:rFonts w:ascii="Times New Roman" w:eastAsia="Times New Roman" w:hAnsi="Times New Roman" w:cs="Times New Roman"/>
          <w:noProof/>
          <w:sz w:val="20"/>
          <w:szCs w:val="20"/>
          <w:lang w:eastAsia="ru-RU"/>
        </w:rPr>
        <mc:AlternateContent>
          <mc:Choice Requires="wps">
            <w:drawing>
              <wp:anchor distT="0" distB="0" distL="114300" distR="114300" simplePos="0" relativeHeight="251694080" behindDoc="0" locked="0" layoutInCell="1" allowOverlap="1" wp14:anchorId="21F3C50C" wp14:editId="330B1758">
                <wp:simplePos x="0" y="0"/>
                <wp:positionH relativeFrom="column">
                  <wp:posOffset>1966595</wp:posOffset>
                </wp:positionH>
                <wp:positionV relativeFrom="paragraph">
                  <wp:posOffset>86995</wp:posOffset>
                </wp:positionV>
                <wp:extent cx="342900" cy="257175"/>
                <wp:effectExtent l="0" t="0" r="0" b="952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57175"/>
                        </a:xfrm>
                        <a:prstGeom prst="rect">
                          <a:avLst/>
                        </a:prstGeom>
                        <a:solidFill>
                          <a:srgbClr val="FFFFFF"/>
                        </a:solidFill>
                        <a:ln>
                          <a:noFill/>
                        </a:ln>
                      </wps:spPr>
                      <wps:txbx>
                        <w:txbxContent>
                          <w:p w14:paraId="1FDB27C4" w14:textId="77777777" w:rsidR="00D82793" w:rsidRDefault="00D82793" w:rsidP="00D82793">
                            <w:pPr>
                              <w:rPr>
                                <w:rFonts w:ascii="Arial Unicode MS" w:cs="Arial Unicode MS"/>
                                <w:color w:val="000000"/>
                                <w:lang w:eastAsia="uk-UA"/>
                              </w:rPr>
                            </w:pPr>
                          </w:p>
                          <w:p w14:paraId="35914BD7" w14:textId="77777777" w:rsidR="00D82793" w:rsidRDefault="00D82793" w:rsidP="00D82793">
                            <w:pPr>
                              <w:rPr>
                                <w:rFonts w:ascii="Arial Unicode MS" w:cs="Arial Unicode MS"/>
                                <w:color w:val="000000"/>
                                <w:lang w:eastAsia="uk-UA"/>
                              </w:rPr>
                            </w:pPr>
                          </w:p>
                          <w:p w14:paraId="22175571" w14:textId="77777777" w:rsidR="00D82793" w:rsidRDefault="00D82793" w:rsidP="00D82793">
                            <w:pPr>
                              <w:rPr>
                                <w:rFonts w:ascii="Arial Unicode MS" w:cs="Arial Unicode MS"/>
                                <w:color w:val="000000"/>
                                <w:lang w:eastAsia="uk-UA"/>
                              </w:rPr>
                            </w:pPr>
                          </w:p>
                          <w:p w14:paraId="74359DD3" w14:textId="77777777" w:rsidR="00D82793" w:rsidRDefault="00D82793" w:rsidP="00D82793">
                            <w:pPr>
                              <w:rPr>
                                <w:rFonts w:ascii="Arial Unicode MS" w:cs="Arial Unicode MS"/>
                                <w:color w:val="000000"/>
                                <w:lang w:eastAsia="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1F3C50C" id="_x0000_t202" coordsize="21600,21600" o:spt="202" path="m,l,21600r21600,l21600,xe">
                <v:stroke joinstyle="miter"/>
                <v:path gradientshapeok="t" o:connecttype="rect"/>
              </v:shapetype>
              <v:shape id="Text Box 2" o:spid="_x0000_s1026" type="#_x0000_t202" style="position:absolute;left:0;text-align:left;margin-left:154.85pt;margin-top:6.85pt;width:27pt;height:20.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W+dBQIAAO4DAAAOAAAAZHJzL2Uyb0RvYy54bWysU9uO0zAQfUfiHyy/07ShpWzUdLV0VYS0&#10;XKRdPsBxnMTC8Zix26R8PWOnWwq8IfxgeTzjM3POjDe3Y2/YUaHXYEu+mM05U1ZCrW1b8q9P+1dv&#10;OfNB2FoYsKrkJ+X57fbli83gCpVDB6ZWyAjE+mJwJe9CcEWWedmpXvgZOGXJ2QD2IpCJbVajGAi9&#10;N1k+n7/JBsDaIUjlPd3eT06+TfhNo2T43DReBWZKTrWFtGPaq7hn240oWhSu0/JchviHKnqhLSW9&#10;QN2LINgB9V9QvZYIHpowk9Bn0DRaqsSB2Czmf7B57IRTiQuJ491FJv//YOWn4xdkui55zpkVPbXo&#10;SY2BvYOR5VGdwfmCgh4dhYWRrqnLial3DyC/eWZh1wnbqjtEGDolaqpuEV9mV08nHB9BquEj1JRG&#10;HAIkoLHBPkpHYjBCpy6dLp2JpUi6fL3Mb+bkkeTKV+vFepUyiOL5sUMf3ivoWTyUHKnxCVwcH3yI&#10;xYjiOSTm8mB0vdfGJAPbameQHQUNyT6tM/pvYcbGYAvx2YQYbxLLSGyiGMZqPKtWQX0ivgjT0NEn&#10;oUMH+IOzgQau5P77QaDizHywpNnNYrmME5qM5Wqdk4HXnuraI6wkqJIHzqbjLkxTfXCo244yTV2y&#10;cEc6NzppEBsyVXWum4YqSXP+AHFqr+0U9eubbn8CAAD//wMAUEsDBBQABgAIAAAAIQB+ztsy3QAA&#10;AAkBAAAPAAAAZHJzL2Rvd25yZXYueG1sTI9BT4NAEIXvJv6HzZh4MXaxtGCRpVETjdfW/oABpkBk&#10;Zwm7LfTfOz3paWbyXt58L9/OtldnGn3n2MDTIgJFXLm648bA4fvj8RmUD8g19o7JwIU8bIvbmxyz&#10;2k28o/M+NEpC2GdooA1hyLT2VUsW/cINxKId3WgxyDk2uh5xknDb62UUJdpix/KhxYHeW6p+9idr&#10;4Pg1Paw3U/kZDululbxhl5buYsz93fz6AirQHP7McMUXdCiEqXQnrr3qDcTRJhWrCLFMMcTJdSkN&#10;rFdL0EWu/zcofgEAAP//AwBQSwECLQAUAAYACAAAACEAtoM4kv4AAADhAQAAEwAAAAAAAAAAAAAA&#10;AAAAAAAAW0NvbnRlbnRfVHlwZXNdLnhtbFBLAQItABQABgAIAAAAIQA4/SH/1gAAAJQBAAALAAAA&#10;AAAAAAAAAAAAAC8BAABfcmVscy8ucmVsc1BLAQItABQABgAIAAAAIQB4eW+dBQIAAO4DAAAOAAAA&#10;AAAAAAAAAAAAAC4CAABkcnMvZTJvRG9jLnhtbFBLAQItABQABgAIAAAAIQB+ztsy3QAAAAkBAAAP&#10;AAAAAAAAAAAAAAAAAF8EAABkcnMvZG93bnJldi54bWxQSwUGAAAAAAQABADzAAAAaQUAAAAA&#10;" stroked="f">
                <v:textbox>
                  <w:txbxContent>
                    <w:p w14:paraId="1FDB27C4" w14:textId="77777777" w:rsidR="00D82793" w:rsidRDefault="00D82793" w:rsidP="00D82793">
                      <w:pPr>
                        <w:rPr>
                          <w:rFonts w:ascii="Arial Unicode MS" w:cs="Arial Unicode MS"/>
                          <w:color w:val="000000"/>
                          <w:lang w:eastAsia="uk-UA"/>
                        </w:rPr>
                      </w:pPr>
                    </w:p>
                    <w:p w14:paraId="35914BD7" w14:textId="77777777" w:rsidR="00D82793" w:rsidRDefault="00D82793" w:rsidP="00D82793">
                      <w:pPr>
                        <w:rPr>
                          <w:rFonts w:ascii="Arial Unicode MS" w:cs="Arial Unicode MS"/>
                          <w:color w:val="000000"/>
                          <w:lang w:eastAsia="uk-UA"/>
                        </w:rPr>
                      </w:pPr>
                    </w:p>
                    <w:p w14:paraId="22175571" w14:textId="77777777" w:rsidR="00D82793" w:rsidRDefault="00D82793" w:rsidP="00D82793">
                      <w:pPr>
                        <w:rPr>
                          <w:rFonts w:ascii="Arial Unicode MS" w:cs="Arial Unicode MS"/>
                          <w:color w:val="000000"/>
                          <w:lang w:eastAsia="uk-UA"/>
                        </w:rPr>
                      </w:pPr>
                    </w:p>
                    <w:p w14:paraId="74359DD3" w14:textId="77777777" w:rsidR="00D82793" w:rsidRDefault="00D82793" w:rsidP="00D82793">
                      <w:pPr>
                        <w:rPr>
                          <w:rFonts w:ascii="Arial Unicode MS" w:cs="Arial Unicode MS"/>
                          <w:color w:val="000000"/>
                          <w:lang w:eastAsia="uk-UA"/>
                        </w:rPr>
                      </w:pPr>
                    </w:p>
                  </w:txbxContent>
                </v:textbox>
              </v:shape>
            </w:pict>
          </mc:Fallback>
        </mc:AlternateContent>
      </w:r>
      <w:r w:rsidRPr="00D82793">
        <w:rPr>
          <w:rFonts w:ascii="Times New Roman" w:eastAsia="Times New Roman" w:hAnsi="Times New Roman" w:cs="Times New Roman"/>
          <w:color w:val="000000"/>
          <w:sz w:val="18"/>
          <w:szCs w:val="18"/>
          <w:lang w:eastAsia="ar-SA"/>
        </w:rPr>
        <w:t>© О. А. Хілуха,</w:t>
      </w:r>
      <w:r w:rsidR="00C37F1C">
        <w:rPr>
          <w:rFonts w:ascii="Times New Roman" w:eastAsia="Times New Roman" w:hAnsi="Times New Roman" w:cs="Times New Roman"/>
          <w:color w:val="000000"/>
          <w:sz w:val="18"/>
          <w:szCs w:val="18"/>
          <w:lang w:eastAsia="ar-SA"/>
        </w:rPr>
        <w:t xml:space="preserve"> П.М. Косінський,</w:t>
      </w:r>
      <w:r w:rsidRPr="00D82793">
        <w:rPr>
          <w:rFonts w:ascii="Times New Roman" w:eastAsia="Times New Roman" w:hAnsi="Times New Roman" w:cs="Times New Roman"/>
          <w:color w:val="000000"/>
          <w:sz w:val="18"/>
          <w:szCs w:val="18"/>
          <w:lang w:eastAsia="ar-SA"/>
        </w:rPr>
        <w:t xml:space="preserve"> 2025</w:t>
      </w:r>
    </w:p>
    <w:p w14:paraId="5DAAF8CE" w14:textId="5E71EAE1" w:rsidR="00D82793" w:rsidRDefault="00DA52C0">
      <w:pPr>
        <w:rPr>
          <w:rFonts w:ascii="Times New Roman" w:eastAsia="Cambria" w:hAnsi="Times New Roman" w:cs="Times New Roman"/>
          <w:b/>
          <w:bCs/>
          <w:sz w:val="16"/>
          <w:szCs w:val="16"/>
          <w:lang w:eastAsia="en-US"/>
        </w:rPr>
      </w:pPr>
      <w:r>
        <w:rPr>
          <w:rFonts w:ascii="Times New Roman" w:eastAsia="Times New Roman" w:hAnsi="Times New Roman" w:cs="Times New Roman"/>
          <w:noProof/>
          <w:color w:val="000000"/>
          <w:sz w:val="24"/>
          <w:szCs w:val="24"/>
          <w:lang w:eastAsia="uk-UA"/>
        </w:rPr>
        <mc:AlternateContent>
          <mc:Choice Requires="wps">
            <w:drawing>
              <wp:anchor distT="0" distB="0" distL="114300" distR="114300" simplePos="0" relativeHeight="251695104" behindDoc="0" locked="0" layoutInCell="1" allowOverlap="1" wp14:anchorId="0C4C6949" wp14:editId="79509AB8">
                <wp:simplePos x="0" y="0"/>
                <wp:positionH relativeFrom="column">
                  <wp:posOffset>1722768</wp:posOffset>
                </wp:positionH>
                <wp:positionV relativeFrom="paragraph">
                  <wp:posOffset>298450</wp:posOffset>
                </wp:positionV>
                <wp:extent cx="561315" cy="470302"/>
                <wp:effectExtent l="0" t="0" r="10795" b="25400"/>
                <wp:wrapNone/>
                <wp:docPr id="3" name="Rectangle 3"/>
                <wp:cNvGraphicFramePr/>
                <a:graphic xmlns:a="http://schemas.openxmlformats.org/drawingml/2006/main">
                  <a:graphicData uri="http://schemas.microsoft.com/office/word/2010/wordprocessingShape">
                    <wps:wsp>
                      <wps:cNvSpPr/>
                      <wps:spPr>
                        <a:xfrm>
                          <a:off x="0" y="0"/>
                          <a:ext cx="561315" cy="470302"/>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97D1A6" id="Rectangle 3" o:spid="_x0000_s1026" style="position:absolute;margin-left:135.65pt;margin-top:23.5pt;width:44.2pt;height:37.0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vjxkAIAAKsFAAAOAAAAZHJzL2Uyb0RvYy54bWysVEtv2zAMvg/YfxB0X23n0XZBnSJo0WFA&#10;0RZth54VWYoFyKImKXGyXz9KfqTrih2K5aCIIvmR/Ezy4nLfaLITziswJS1OckqE4VApsynpj+eb&#10;L+eU+MBMxTQYUdKD8PRy+fnTRWsXYgI16Eo4giDGL1pb0joEu8gyz2vRMH8CVhhUSnANCyi6TVY5&#10;1iJ6o7NJnp9mLbjKOuDCe3y97pR0mfClFDzcS+lFILqkmFtIp0vnOp7Z8oItNo7ZWvE+DfaBLBqm&#10;DAYdoa5ZYGTr1F9QjeIOPMhwwqHJQErFRaoBqynyN9U81cyKVAuS4+1Ik/9/sPxu9+CIqko6pcSw&#10;Bj/RI5LGzEYLMo30tNYv0OrJPrhe8niNte6la+I/VkH2idLDSKnYB8LxcX5aTIs5JRxVs7N8mk8i&#10;ZnZ0ts6HbwIaEi8ldRg8Ecl2tz50poNJjOVBq+pGaZ2E2CXiSjuyY/h915uiB//DSpsPOWKO0TOL&#10;9XcVp1s4aBHxtHkUEonDGicp4dSyx2QY58KEolPVrBJdjvMcf0OWQ/qJkAQYkSVWN2L3AINlBzJg&#10;d/T09tFVpI4fnfN/JdY5jx4pMpgwOjfKgHsPQGNVfeTOfiCpoyaytIbqgG3loJs3b/mNws97y3x4&#10;YA4HDEcRl0a4x0NqaEsK/Y2SGtyv996jPfY9ailpcWBL6n9umROU6O8GJ+JrMZvFCU/CbH42QcG9&#10;1qxfa8y2uQLsmQLXk+XpGu2DHq7SQfOCu2UVo6KKGY6xS8qDG4Sr0C0S3E5crFbJDKfasnBrniyP&#10;4JHV2L7P+xfmbN/jAYfjDobhZos3rd7ZRk8Dq20AqdIcHHnt+caNkBqn315x5byWk9Vxxy5/AwAA&#10;//8DAFBLAwQUAAYACAAAACEArVkuA98AAAAKAQAADwAAAGRycy9kb3ducmV2LnhtbEyPQUvEMBCF&#10;74L/IYzgzU3bVevWpouIIoIH3RX0ONskbbGZlCbt1n/veNLjMB/vfa/cLq4XsxlD50lBukpAGKq9&#10;7qhR8L5/vLgBESKSxt6TUfBtAmyr05MSC+2P9GbmXWwEh1AoUEEb41BIGerWOAwrPxjin/Wjw8jn&#10;2Eg94pHDXS+zJLmWDjvihhYHc9+a+ms3OQWfFp/2D8/hRdpstpvudfqw+aTU+dlydwsimiX+wfCr&#10;z+pQsdPBT6SD6BVkebpmVMFlzpsYWF9tchAHJrM0BVmV8v+E6gcAAP//AwBQSwECLQAUAAYACAAA&#10;ACEAtoM4kv4AAADhAQAAEwAAAAAAAAAAAAAAAAAAAAAAW0NvbnRlbnRfVHlwZXNdLnhtbFBLAQIt&#10;ABQABgAIAAAAIQA4/SH/1gAAAJQBAAALAAAAAAAAAAAAAAAAAC8BAABfcmVscy8ucmVsc1BLAQIt&#10;ABQABgAIAAAAIQCOfvjxkAIAAKsFAAAOAAAAAAAAAAAAAAAAAC4CAABkcnMvZTJvRG9jLnhtbFBL&#10;AQItABQABgAIAAAAIQCtWS4D3wAAAAoBAAAPAAAAAAAAAAAAAAAAAOoEAABkcnMvZG93bnJldi54&#10;bWxQSwUGAAAAAAQABADzAAAA9gUAAAAA&#10;" fillcolor="white [3212]" strokecolor="white [3212]" strokeweight="1pt"/>
            </w:pict>
          </mc:Fallback>
        </mc:AlternateContent>
      </w:r>
      <w:r w:rsidR="00D82793">
        <w:rPr>
          <w:rFonts w:ascii="Times New Roman" w:hAnsi="Times New Roman" w:cs="Times New Roman"/>
          <w:sz w:val="16"/>
          <w:szCs w:val="16"/>
        </w:rPr>
        <w:br w:type="page"/>
      </w:r>
    </w:p>
    <w:p w14:paraId="2B86C2F1" w14:textId="77777777" w:rsidR="0091214E" w:rsidRPr="00B8290E" w:rsidRDefault="008C60A1" w:rsidP="00FF3B82">
      <w:pPr>
        <w:adjustRightInd w:val="0"/>
        <w:snapToGrid w:val="0"/>
        <w:spacing w:after="0"/>
        <w:jc w:val="center"/>
        <w:rPr>
          <w:rFonts w:ascii="Times New Roman" w:hAnsi="Times New Roman" w:cs="Times New Roman"/>
          <w:sz w:val="20"/>
          <w:szCs w:val="20"/>
        </w:rPr>
      </w:pPr>
      <w:r w:rsidRPr="00B8290E">
        <w:rPr>
          <w:rFonts w:ascii="Times New Roman" w:hAnsi="Times New Roman" w:cs="Times New Roman"/>
          <w:sz w:val="20"/>
          <w:szCs w:val="20"/>
        </w:rPr>
        <w:lastRenderedPageBreak/>
        <w:t>ЗМІСТ</w:t>
      </w:r>
    </w:p>
    <w:p w14:paraId="4C0CD94E" w14:textId="77777777" w:rsidR="00B72DF7" w:rsidRDefault="00B72DF7" w:rsidP="00FF3B82">
      <w:pPr>
        <w:adjustRightInd w:val="0"/>
        <w:snapToGrid w:val="0"/>
        <w:spacing w:after="0"/>
        <w:jc w:val="both"/>
        <w:rPr>
          <w:rFonts w:ascii="Times New Roman" w:hAnsi="Times New Roman" w:cs="Times New Roman"/>
          <w:sz w:val="20"/>
          <w:szCs w:val="20"/>
        </w:rPr>
      </w:pPr>
    </w:p>
    <w:tbl>
      <w:tblPr>
        <w:tblStyle w:val="TableGrid"/>
        <w:tblW w:w="71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0"/>
        <w:gridCol w:w="625"/>
      </w:tblGrid>
      <w:tr w:rsidR="00F23611" w14:paraId="373FE4C5" w14:textId="77777777" w:rsidTr="00683D62">
        <w:trPr>
          <w:trHeight w:val="401"/>
        </w:trPr>
        <w:tc>
          <w:tcPr>
            <w:tcW w:w="6480" w:type="dxa"/>
            <w:vAlign w:val="center"/>
          </w:tcPr>
          <w:p w14:paraId="153078AF" w14:textId="3867A543" w:rsidR="00F23611" w:rsidRDefault="00B72DF7" w:rsidP="00683D62">
            <w:pPr>
              <w:adjustRightInd w:val="0"/>
              <w:snapToGrid w:val="0"/>
            </w:pPr>
            <w:r w:rsidRPr="00B8290E">
              <w:t>ВСТУП</w:t>
            </w:r>
          </w:p>
        </w:tc>
        <w:tc>
          <w:tcPr>
            <w:tcW w:w="625" w:type="dxa"/>
            <w:vAlign w:val="center"/>
          </w:tcPr>
          <w:p w14:paraId="7F92A138" w14:textId="3B23C471" w:rsidR="00F23611" w:rsidRDefault="001D5085" w:rsidP="00683D62">
            <w:pPr>
              <w:adjustRightInd w:val="0"/>
              <w:snapToGrid w:val="0"/>
            </w:pPr>
            <w:r>
              <w:t>4</w:t>
            </w:r>
          </w:p>
        </w:tc>
      </w:tr>
      <w:tr w:rsidR="00F23611" w14:paraId="33644FD6" w14:textId="77777777" w:rsidTr="00683D62">
        <w:trPr>
          <w:trHeight w:val="345"/>
        </w:trPr>
        <w:tc>
          <w:tcPr>
            <w:tcW w:w="6480" w:type="dxa"/>
            <w:vAlign w:val="center"/>
          </w:tcPr>
          <w:p w14:paraId="2938241F" w14:textId="68DFCDC7" w:rsidR="00F23611" w:rsidRDefault="00B72DF7" w:rsidP="00683D62">
            <w:pPr>
              <w:adjustRightInd w:val="0"/>
              <w:snapToGrid w:val="0"/>
            </w:pPr>
            <w:r w:rsidRPr="00B8290E">
              <w:t xml:space="preserve">Тема 1. </w:t>
            </w:r>
            <w:r w:rsidR="00132B76" w:rsidRPr="00132B76">
              <w:t>Концептуальні засади, суть та функції «зеленої» економіки</w:t>
            </w:r>
          </w:p>
        </w:tc>
        <w:tc>
          <w:tcPr>
            <w:tcW w:w="625" w:type="dxa"/>
            <w:vAlign w:val="center"/>
          </w:tcPr>
          <w:p w14:paraId="69CE88D5" w14:textId="6CED4484" w:rsidR="00F23611" w:rsidRDefault="00B26B99" w:rsidP="00683D62">
            <w:pPr>
              <w:adjustRightInd w:val="0"/>
              <w:snapToGrid w:val="0"/>
            </w:pPr>
            <w:r>
              <w:t>6</w:t>
            </w:r>
          </w:p>
        </w:tc>
      </w:tr>
      <w:tr w:rsidR="00816776" w14:paraId="54172F90" w14:textId="77777777" w:rsidTr="00683D62">
        <w:trPr>
          <w:trHeight w:val="422"/>
        </w:trPr>
        <w:tc>
          <w:tcPr>
            <w:tcW w:w="6480" w:type="dxa"/>
            <w:vAlign w:val="center"/>
          </w:tcPr>
          <w:p w14:paraId="0757C157" w14:textId="36652333" w:rsidR="00816776" w:rsidRPr="00B8290E" w:rsidRDefault="00816776" w:rsidP="00683D62">
            <w:pPr>
              <w:adjustRightInd w:val="0"/>
              <w:snapToGrid w:val="0"/>
            </w:pPr>
            <w:r w:rsidRPr="00B8290E">
              <w:t xml:space="preserve">Тема </w:t>
            </w:r>
            <w:r w:rsidR="00052C66">
              <w:t>2</w:t>
            </w:r>
            <w:r w:rsidRPr="00B8290E">
              <w:t xml:space="preserve">. </w:t>
            </w:r>
            <w:r w:rsidR="00094A39" w:rsidRPr="00094A39">
              <w:t>Пріоритетні напрями розвитку «зеленої» економіки</w:t>
            </w:r>
          </w:p>
        </w:tc>
        <w:tc>
          <w:tcPr>
            <w:tcW w:w="625" w:type="dxa"/>
            <w:vAlign w:val="center"/>
          </w:tcPr>
          <w:p w14:paraId="4CA0E8FE" w14:textId="4188B7F0" w:rsidR="00816776" w:rsidRDefault="00B26B99" w:rsidP="00683D62">
            <w:pPr>
              <w:adjustRightInd w:val="0"/>
              <w:snapToGrid w:val="0"/>
            </w:pPr>
            <w:r>
              <w:t>25</w:t>
            </w:r>
          </w:p>
        </w:tc>
      </w:tr>
      <w:tr w:rsidR="00816776" w14:paraId="73569B5F" w14:textId="77777777" w:rsidTr="00683D62">
        <w:trPr>
          <w:trHeight w:val="427"/>
        </w:trPr>
        <w:tc>
          <w:tcPr>
            <w:tcW w:w="6480" w:type="dxa"/>
            <w:vAlign w:val="center"/>
          </w:tcPr>
          <w:p w14:paraId="2A579345" w14:textId="2B45FFE9" w:rsidR="00816776" w:rsidRDefault="00201F26" w:rsidP="00683D62">
            <w:pPr>
              <w:adjustRightInd w:val="0"/>
              <w:snapToGrid w:val="0"/>
            </w:pPr>
            <w:r w:rsidRPr="00B8290E">
              <w:t xml:space="preserve">Тема </w:t>
            </w:r>
            <w:r>
              <w:t>3</w:t>
            </w:r>
            <w:r w:rsidRPr="00B8290E">
              <w:t xml:space="preserve">. </w:t>
            </w:r>
            <w:r w:rsidRPr="00201F26">
              <w:t>Економічний механізм охорони навколишнього середовища та переходу до зеленої економіки</w:t>
            </w:r>
          </w:p>
        </w:tc>
        <w:tc>
          <w:tcPr>
            <w:tcW w:w="625" w:type="dxa"/>
            <w:vAlign w:val="center"/>
          </w:tcPr>
          <w:p w14:paraId="7CB97F53" w14:textId="4E0398F3" w:rsidR="00816776" w:rsidRDefault="00816776" w:rsidP="00683D62">
            <w:pPr>
              <w:adjustRightInd w:val="0"/>
              <w:snapToGrid w:val="0"/>
            </w:pPr>
            <w:r>
              <w:t>11</w:t>
            </w:r>
          </w:p>
        </w:tc>
      </w:tr>
      <w:tr w:rsidR="00816776" w14:paraId="2F736DBA" w14:textId="77777777" w:rsidTr="00683D62">
        <w:trPr>
          <w:trHeight w:val="391"/>
        </w:trPr>
        <w:tc>
          <w:tcPr>
            <w:tcW w:w="6480" w:type="dxa"/>
            <w:vAlign w:val="center"/>
          </w:tcPr>
          <w:p w14:paraId="5C936E0A" w14:textId="60B973C8" w:rsidR="00816776" w:rsidRDefault="00544DF7" w:rsidP="00683D62">
            <w:pPr>
              <w:adjustRightInd w:val="0"/>
              <w:snapToGrid w:val="0"/>
            </w:pPr>
            <w:r w:rsidRPr="00544DF7">
              <w:t>Тема 4. «Зелені» інновації</w:t>
            </w:r>
          </w:p>
        </w:tc>
        <w:tc>
          <w:tcPr>
            <w:tcW w:w="625" w:type="dxa"/>
            <w:vAlign w:val="center"/>
          </w:tcPr>
          <w:p w14:paraId="1EF17071" w14:textId="7F4F9807" w:rsidR="00816776" w:rsidRDefault="00816776" w:rsidP="00683D62">
            <w:pPr>
              <w:adjustRightInd w:val="0"/>
              <w:snapToGrid w:val="0"/>
            </w:pPr>
            <w:r>
              <w:t>25</w:t>
            </w:r>
          </w:p>
        </w:tc>
      </w:tr>
      <w:tr w:rsidR="00816776" w14:paraId="626209D7" w14:textId="77777777" w:rsidTr="00683D62">
        <w:trPr>
          <w:trHeight w:val="397"/>
        </w:trPr>
        <w:tc>
          <w:tcPr>
            <w:tcW w:w="6480" w:type="dxa"/>
            <w:vAlign w:val="center"/>
          </w:tcPr>
          <w:p w14:paraId="7A4547C4" w14:textId="7A7BBAA7" w:rsidR="00816776" w:rsidRDefault="00816776" w:rsidP="00683D62">
            <w:pPr>
              <w:adjustRightInd w:val="0"/>
              <w:snapToGrid w:val="0"/>
            </w:pPr>
            <w:bookmarkStart w:id="4" w:name="_Hlk221301572"/>
            <w:bookmarkStart w:id="5" w:name="_Hlk221302650"/>
            <w:r w:rsidRPr="00B8290E">
              <w:t xml:space="preserve">Тема </w:t>
            </w:r>
            <w:bookmarkEnd w:id="4"/>
            <w:r w:rsidR="00C709A7">
              <w:t>5</w:t>
            </w:r>
            <w:r w:rsidRPr="00B8290E">
              <w:t xml:space="preserve">. </w:t>
            </w:r>
            <w:bookmarkEnd w:id="5"/>
            <w:r w:rsidR="00B26B99" w:rsidRPr="00B26B99">
              <w:t>Зелене інвестування у суспільно важливі сфери</w:t>
            </w:r>
          </w:p>
        </w:tc>
        <w:tc>
          <w:tcPr>
            <w:tcW w:w="625" w:type="dxa"/>
            <w:vAlign w:val="center"/>
          </w:tcPr>
          <w:p w14:paraId="4EDF2A2E" w14:textId="16903B76" w:rsidR="00816776" w:rsidRDefault="00683D62" w:rsidP="00683D62">
            <w:pPr>
              <w:adjustRightInd w:val="0"/>
              <w:snapToGrid w:val="0"/>
            </w:pPr>
            <w:r>
              <w:t>42</w:t>
            </w:r>
          </w:p>
        </w:tc>
      </w:tr>
      <w:tr w:rsidR="00816776" w14:paraId="1341145C" w14:textId="77777777" w:rsidTr="00683D62">
        <w:trPr>
          <w:trHeight w:val="597"/>
        </w:trPr>
        <w:tc>
          <w:tcPr>
            <w:tcW w:w="6480" w:type="dxa"/>
            <w:vAlign w:val="center"/>
          </w:tcPr>
          <w:p w14:paraId="34E7176C" w14:textId="2F2E4596" w:rsidR="00816776" w:rsidRPr="00B8290E" w:rsidRDefault="00816776" w:rsidP="00683D62">
            <w:pPr>
              <w:adjustRightInd w:val="0"/>
              <w:snapToGrid w:val="0"/>
            </w:pPr>
            <w:r w:rsidRPr="00B8290E">
              <w:t>Тема 6.</w:t>
            </w:r>
            <w:r>
              <w:t xml:space="preserve"> </w:t>
            </w:r>
            <w:r w:rsidRPr="00693D31">
              <w:t>Особливості «зеленого» розвитку України у розрізі сфер господарювання</w:t>
            </w:r>
          </w:p>
        </w:tc>
        <w:tc>
          <w:tcPr>
            <w:tcW w:w="625" w:type="dxa"/>
            <w:vAlign w:val="center"/>
          </w:tcPr>
          <w:p w14:paraId="207A69FF" w14:textId="0699AD32" w:rsidR="00816776" w:rsidRDefault="00C37221" w:rsidP="00683D62">
            <w:pPr>
              <w:adjustRightInd w:val="0"/>
              <w:snapToGrid w:val="0"/>
            </w:pPr>
            <w:r>
              <w:t>61</w:t>
            </w:r>
          </w:p>
        </w:tc>
      </w:tr>
      <w:tr w:rsidR="00816776" w14:paraId="489BD073" w14:textId="77777777" w:rsidTr="00683D62">
        <w:trPr>
          <w:trHeight w:val="455"/>
        </w:trPr>
        <w:tc>
          <w:tcPr>
            <w:tcW w:w="6480" w:type="dxa"/>
            <w:vAlign w:val="center"/>
          </w:tcPr>
          <w:p w14:paraId="3603B9EA" w14:textId="11CFDDCC" w:rsidR="00816776" w:rsidRPr="00B8290E" w:rsidRDefault="00816776" w:rsidP="00683D62">
            <w:pPr>
              <w:adjustRightInd w:val="0"/>
              <w:snapToGrid w:val="0"/>
            </w:pPr>
            <w:r w:rsidRPr="00B8290E">
              <w:t xml:space="preserve">Тема </w:t>
            </w:r>
            <w:r w:rsidR="00FF32DA">
              <w:t>7</w:t>
            </w:r>
            <w:r w:rsidRPr="00B8290E">
              <w:t xml:space="preserve">. </w:t>
            </w:r>
            <w:r w:rsidRPr="00296241">
              <w:t>Досвід європейських країн у побудові «зеленої» економіки</w:t>
            </w:r>
          </w:p>
        </w:tc>
        <w:tc>
          <w:tcPr>
            <w:tcW w:w="625" w:type="dxa"/>
            <w:vAlign w:val="center"/>
          </w:tcPr>
          <w:p w14:paraId="48002517" w14:textId="44A1E9E8" w:rsidR="00816776" w:rsidRDefault="00C37221" w:rsidP="00683D62">
            <w:pPr>
              <w:adjustRightInd w:val="0"/>
              <w:snapToGrid w:val="0"/>
            </w:pPr>
            <w:r>
              <w:t>94</w:t>
            </w:r>
          </w:p>
        </w:tc>
      </w:tr>
      <w:tr w:rsidR="00816776" w14:paraId="7C1D28B1" w14:textId="77777777" w:rsidTr="00683D62">
        <w:trPr>
          <w:trHeight w:val="616"/>
        </w:trPr>
        <w:tc>
          <w:tcPr>
            <w:tcW w:w="6480" w:type="dxa"/>
            <w:vAlign w:val="center"/>
          </w:tcPr>
          <w:p w14:paraId="2158BB57" w14:textId="711C503C" w:rsidR="00816776" w:rsidRPr="00B26B99" w:rsidRDefault="00816776" w:rsidP="00683D62">
            <w:pPr>
              <w:adjustRightInd w:val="0"/>
              <w:snapToGrid w:val="0"/>
              <w:spacing w:after="160" w:line="259" w:lineRule="auto"/>
              <w:rPr>
                <w:rFonts w:asciiTheme="minorHAnsi" w:eastAsiaTheme="minorEastAsia" w:hAnsiTheme="minorHAnsi" w:cstheme="minorBidi"/>
                <w:sz w:val="22"/>
                <w:szCs w:val="22"/>
                <w:lang w:eastAsia="zh-CN"/>
              </w:rPr>
            </w:pPr>
            <w:r w:rsidRPr="00B8290E">
              <w:t xml:space="preserve">Тема </w:t>
            </w:r>
            <w:r w:rsidR="00D74FF0">
              <w:t>8</w:t>
            </w:r>
            <w:r w:rsidRPr="00B8290E">
              <w:t xml:space="preserve">. </w:t>
            </w:r>
            <w:r w:rsidRPr="007E7C92">
              <w:t>«Зелений» бізнес. Проектний підхід у реалізації принципів «зеленої» економіки</w:t>
            </w:r>
          </w:p>
        </w:tc>
        <w:tc>
          <w:tcPr>
            <w:tcW w:w="625" w:type="dxa"/>
            <w:vAlign w:val="center"/>
          </w:tcPr>
          <w:p w14:paraId="6417B239" w14:textId="67A00804" w:rsidR="00816776" w:rsidRDefault="00816776" w:rsidP="00683D62">
            <w:pPr>
              <w:adjustRightInd w:val="0"/>
              <w:snapToGrid w:val="0"/>
            </w:pPr>
            <w:r>
              <w:t>1</w:t>
            </w:r>
            <w:r w:rsidR="00C37221">
              <w:t>07</w:t>
            </w:r>
          </w:p>
        </w:tc>
      </w:tr>
    </w:tbl>
    <w:p w14:paraId="0FCBFAE5" w14:textId="77777777" w:rsidR="00070982" w:rsidRDefault="00070982" w:rsidP="00FF3B82">
      <w:pPr>
        <w:adjustRightInd w:val="0"/>
        <w:snapToGrid w:val="0"/>
        <w:spacing w:after="0"/>
        <w:jc w:val="both"/>
        <w:rPr>
          <w:rFonts w:ascii="Times New Roman" w:hAnsi="Times New Roman" w:cs="Times New Roman"/>
          <w:sz w:val="20"/>
          <w:szCs w:val="20"/>
        </w:rPr>
      </w:pPr>
    </w:p>
    <w:p w14:paraId="7B58469C" w14:textId="77777777" w:rsidR="00070982" w:rsidRPr="00B8290E" w:rsidRDefault="00070982" w:rsidP="00FF3B82">
      <w:pPr>
        <w:adjustRightInd w:val="0"/>
        <w:snapToGrid w:val="0"/>
        <w:spacing w:after="0"/>
        <w:jc w:val="both"/>
        <w:rPr>
          <w:rFonts w:ascii="Times New Roman" w:hAnsi="Times New Roman" w:cs="Times New Roman"/>
          <w:sz w:val="20"/>
          <w:szCs w:val="20"/>
        </w:rPr>
      </w:pPr>
    </w:p>
    <w:p w14:paraId="3011FA30" w14:textId="79851DBE" w:rsidR="007300C6" w:rsidRPr="00B8290E" w:rsidRDefault="00070982">
      <w:pPr>
        <w:rPr>
          <w:rFonts w:ascii="Times New Roman" w:hAnsi="Times New Roman" w:cs="Times New Roman"/>
          <w:sz w:val="20"/>
          <w:szCs w:val="20"/>
        </w:rPr>
      </w:pPr>
      <w:r>
        <w:rPr>
          <w:rFonts w:ascii="Times New Roman" w:hAnsi="Times New Roman" w:cs="Times New Roman"/>
          <w:noProof/>
          <w:sz w:val="20"/>
          <w:szCs w:val="20"/>
        </w:rPr>
        <mc:AlternateContent>
          <mc:Choice Requires="wps">
            <w:drawing>
              <wp:anchor distT="0" distB="0" distL="114300" distR="114300" simplePos="0" relativeHeight="251696128" behindDoc="0" locked="0" layoutInCell="1" allowOverlap="1" wp14:anchorId="02D2F63E" wp14:editId="1D80EF55">
                <wp:simplePos x="0" y="0"/>
                <wp:positionH relativeFrom="column">
                  <wp:posOffset>1867152</wp:posOffset>
                </wp:positionH>
                <wp:positionV relativeFrom="paragraph">
                  <wp:posOffset>2909853</wp:posOffset>
                </wp:positionV>
                <wp:extent cx="506994" cy="506994"/>
                <wp:effectExtent l="0" t="0" r="26670" b="26670"/>
                <wp:wrapNone/>
                <wp:docPr id="4" name="Rectangle 4"/>
                <wp:cNvGraphicFramePr/>
                <a:graphic xmlns:a="http://schemas.openxmlformats.org/drawingml/2006/main">
                  <a:graphicData uri="http://schemas.microsoft.com/office/word/2010/wordprocessingShape">
                    <wps:wsp>
                      <wps:cNvSpPr/>
                      <wps:spPr>
                        <a:xfrm>
                          <a:off x="0" y="0"/>
                          <a:ext cx="506994" cy="50699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6D21EF1" id="Rectangle 4" o:spid="_x0000_s1026" style="position:absolute;margin-left:147pt;margin-top:229.1pt;width:39.9pt;height:39.9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aEjQIAAKsFAAAOAAAAZHJzL2Uyb0RvYy54bWysVFFPGzEMfp+0/xDlfdy1KmytuKIKxDQJ&#10;AQImntNc0ouUi7Mk7bX79XOSuyswtAe0PqRObH+2v7N9frFvNdkJ5xWYik5OSkqE4VArs6noz6fr&#10;L98o8YGZmmkwoqIH4enF8vOn884uxBQa0LVwBEGMX3S2ok0IdlEUnjeiZf4ErDColOBaFvDqNkXt&#10;WIforS6mZXlWdOBq64AL7/H1KivpMuFLKXi4k9KLQHRFMbeQTpfOdTyL5TlbbByzjeJ9GuwDWbRM&#10;GQw6Ql2xwMjWqb+gWsUdeJDhhENbgJSKi1QDVjMp31Tz2DArUi1IjrcjTf7/wfLb3b0jqq7ojBLD&#10;WvxED0gaMxstyCzS01m/QKtHe+/6m0cx1rqXro3/WAXZJ0oPI6ViHwjHx9PybD5HaI6qXkaU4uhs&#10;nQ/fBbQkChV1GDwRyXY3PmTTwSTG8qBVfa20TpfYJeJSO7Jj+H3Xm0lMGMFfWWnzIUeEiZ5FrD9X&#10;nKRw0CLiafMgJBKHNU5Twqllj8kwzoUJk6xqWC1yjqcl/oYsh/RTzgkwIkusbsTuAQbLDDJg52J7&#10;++gqUsePzuW/EsvOo0eKDCaMzq0y4N4D0FhVHznbDyRlaiJLa6gP2FYO8rx5y68Vft4b5sM9czhg&#10;OIq4NMIdHlJDV1HoJUoacL/fe4/22PeopaTDga2o/7VlTlCifxiciPlkNosTni6z069TvLiXmvVL&#10;jdm2l4A9M8H1ZHkSo33QgygdtM+4W1YxKqqY4Ri7ojy44XIZ8iLB7cTFapXMcKotCzfm0fIIHlmN&#10;7fu0f2bO9j0ecDhuYRhutnjT6tk2ehpYbQNIlebgyGvPN26E1Dj99oor5+U9WR137PIPAAAA//8D&#10;AFBLAwQUAAYACAAAACEAB/NTz+IAAAALAQAADwAAAGRycy9kb3ducmV2LnhtbEyPQU+DQBCF7yb+&#10;h82YeLOL0FpKGRpjNMbEg7Ym9riFXSCys4RdKP57x5MeJ/Py3vflu9l2YtKDbx0h3C4iEJpKV7VU&#10;I3wcnm5SED4oqlTnSCN8aw+74vIiV1nlzvSup32oBZeQzxRCE0KfSenLRlvlF67XxD/jBqsCn0Mt&#10;q0Gdudx2Mo6iO2lVS7zQqF4/NLr82o8W4WjU8+Hxxb9KE09m076Nn2Y9Il5fzfdbEEHP4S8Mv/iM&#10;DgUzndxIlRcdQrxZsktAWK7SGAQnknXCMieEVZJGIItc/ncofgAAAP//AwBQSwECLQAUAAYACAAA&#10;ACEAtoM4kv4AAADhAQAAEwAAAAAAAAAAAAAAAAAAAAAAW0NvbnRlbnRfVHlwZXNdLnhtbFBLAQIt&#10;ABQABgAIAAAAIQA4/SH/1gAAAJQBAAALAAAAAAAAAAAAAAAAAC8BAABfcmVscy8ucmVsc1BLAQIt&#10;ABQABgAIAAAAIQAce+aEjQIAAKsFAAAOAAAAAAAAAAAAAAAAAC4CAABkcnMvZTJvRG9jLnhtbFBL&#10;AQItABQABgAIAAAAIQAH81PP4gAAAAsBAAAPAAAAAAAAAAAAAAAAAOcEAABkcnMvZG93bnJldi54&#10;bWxQSwUGAAAAAAQABADzAAAA9gUAAAAA&#10;" fillcolor="white [3212]" strokecolor="white [3212]" strokeweight="1pt"/>
            </w:pict>
          </mc:Fallback>
        </mc:AlternateContent>
      </w:r>
      <w:r w:rsidR="007300C6" w:rsidRPr="00B8290E">
        <w:rPr>
          <w:rFonts w:ascii="Times New Roman" w:hAnsi="Times New Roman" w:cs="Times New Roman"/>
          <w:sz w:val="20"/>
          <w:szCs w:val="20"/>
        </w:rPr>
        <w:br w:type="page"/>
      </w:r>
    </w:p>
    <w:p w14:paraId="067C5C3B" w14:textId="1327EC66" w:rsidR="00021C47" w:rsidRPr="00B8290E" w:rsidRDefault="007300C6" w:rsidP="00B8290E">
      <w:pPr>
        <w:jc w:val="center"/>
        <w:rPr>
          <w:rFonts w:ascii="Times New Roman" w:hAnsi="Times New Roman" w:cs="Times New Roman"/>
          <w:sz w:val="20"/>
          <w:szCs w:val="20"/>
        </w:rPr>
      </w:pPr>
      <w:r w:rsidRPr="00B8290E">
        <w:rPr>
          <w:rFonts w:ascii="Times New Roman" w:hAnsi="Times New Roman" w:cs="Times New Roman"/>
          <w:sz w:val="20"/>
          <w:szCs w:val="20"/>
        </w:rPr>
        <w:lastRenderedPageBreak/>
        <w:t>ВСТУП</w:t>
      </w:r>
    </w:p>
    <w:p w14:paraId="25DB8E7D" w14:textId="0B2A9AB4" w:rsidR="00B92A95" w:rsidRPr="00B92A95" w:rsidRDefault="00B92A95" w:rsidP="00B92A95">
      <w:pPr>
        <w:spacing w:after="0" w:line="240" w:lineRule="auto"/>
        <w:ind w:firstLine="567"/>
        <w:jc w:val="both"/>
        <w:rPr>
          <w:rFonts w:ascii="Times New Roman" w:eastAsia="Times New Roman" w:hAnsi="Times New Roman" w:cs="Times New Roman"/>
          <w:sz w:val="20"/>
          <w:szCs w:val="20"/>
          <w:lang w:eastAsia="ru-RU"/>
        </w:rPr>
      </w:pPr>
      <w:r w:rsidRPr="00B92A95">
        <w:rPr>
          <w:rFonts w:ascii="Times New Roman" w:eastAsia="Times New Roman" w:hAnsi="Times New Roman" w:cs="Times New Roman"/>
          <w:b/>
          <w:bCs/>
          <w:color w:val="000000"/>
          <w:sz w:val="20"/>
          <w:szCs w:val="20"/>
          <w:lang w:eastAsia="ru-RU"/>
        </w:rPr>
        <w:t>Мета викладання дисципліни.</w:t>
      </w:r>
      <w:r w:rsidRPr="00B92A95">
        <w:rPr>
          <w:rFonts w:ascii="Times New Roman" w:eastAsia="Times New Roman" w:hAnsi="Times New Roman" w:cs="Times New Roman"/>
          <w:color w:val="000000"/>
          <w:sz w:val="20"/>
          <w:szCs w:val="20"/>
          <w:lang w:eastAsia="ru-RU"/>
        </w:rPr>
        <w:t xml:space="preserve"> «Зелена економіка» – формування у студентів системи знань про сутність, провідні напрями зеленої економіки, механізми реалізації принципів «зеленого» розвитку на міжнародному, національному та корпоративному рівнях та набуття навичок аналізу, інтерпретації індикаторів, інформаційних даних та моделювання наслідків еколого-економічної політики на розвиток суб’єктів ринку в контексті досягнення ними цілей сталого /зеленого розвитку.</w:t>
      </w:r>
    </w:p>
    <w:p w14:paraId="2B311DF6" w14:textId="381B5221" w:rsidR="00B92A95" w:rsidRPr="00B92A95" w:rsidRDefault="00B92A95" w:rsidP="00B92A95">
      <w:pPr>
        <w:spacing w:after="0" w:line="240" w:lineRule="auto"/>
        <w:ind w:firstLine="567"/>
        <w:jc w:val="both"/>
        <w:rPr>
          <w:rFonts w:ascii="Times New Roman" w:eastAsia="Times New Roman" w:hAnsi="Times New Roman" w:cs="Times New Roman"/>
          <w:sz w:val="20"/>
          <w:szCs w:val="20"/>
          <w:lang w:eastAsia="ru-RU"/>
        </w:rPr>
      </w:pPr>
      <w:r w:rsidRPr="00B92A95">
        <w:rPr>
          <w:rFonts w:ascii="Times New Roman" w:eastAsia="Times New Roman" w:hAnsi="Times New Roman" w:cs="Times New Roman"/>
          <w:b/>
          <w:bCs/>
          <w:color w:val="000000"/>
          <w:sz w:val="20"/>
          <w:szCs w:val="20"/>
          <w:lang w:eastAsia="ru-RU"/>
        </w:rPr>
        <w:t>Завдання вивчення дисципліни</w:t>
      </w:r>
      <w:r w:rsidRPr="00B92A95">
        <w:rPr>
          <w:rFonts w:ascii="Times New Roman" w:eastAsia="Times New Roman" w:hAnsi="Times New Roman" w:cs="Times New Roman"/>
          <w:sz w:val="20"/>
          <w:szCs w:val="20"/>
          <w:lang w:eastAsia="ru-RU"/>
        </w:rPr>
        <w:t xml:space="preserve">. </w:t>
      </w:r>
      <w:r w:rsidRPr="00B92A95">
        <w:rPr>
          <w:rFonts w:ascii="Times New Roman" w:eastAsia="Times New Roman" w:hAnsi="Times New Roman" w:cs="Times New Roman"/>
          <w:color w:val="000000"/>
          <w:sz w:val="20"/>
          <w:szCs w:val="20"/>
          <w:lang w:eastAsia="ru-RU"/>
        </w:rPr>
        <w:t>Завдання дисципліни «Зелена економіка» – засвоєння теоретичних знань з теорії «зеленої» економіки, основ екологічного менеджменту, напрямів трансформації та переходу традиційної економіки на засади «зеленого» розвитку; набуття навичок аналізу індикаторів сталого розвитку та обґрунтування доцільності, реалізації принципів зеленої економіки суб’єктами економічних відносин на всіх рівнях у процесі суспільного відтворення; набуття навичок моделювання наслідків політики екологізації економіки для учасників ринку.</w:t>
      </w:r>
    </w:p>
    <w:p w14:paraId="4F2555DB" w14:textId="77777777" w:rsidR="00BB48EE" w:rsidRPr="00BB48EE" w:rsidRDefault="00BB48EE" w:rsidP="00BB48EE">
      <w:pPr>
        <w:spacing w:after="0" w:line="240" w:lineRule="auto"/>
        <w:ind w:firstLine="567"/>
        <w:jc w:val="both"/>
        <w:rPr>
          <w:rFonts w:ascii="Times New Roman" w:eastAsia="Times New Roman" w:hAnsi="Times New Roman" w:cs="Times New Roman"/>
          <w:sz w:val="20"/>
          <w:szCs w:val="20"/>
        </w:rPr>
      </w:pPr>
      <w:r w:rsidRPr="00BB48EE">
        <w:rPr>
          <w:rFonts w:ascii="Times New Roman" w:eastAsia="Times New Roman" w:hAnsi="Times New Roman" w:cs="Times New Roman"/>
          <w:sz w:val="20"/>
          <w:szCs w:val="20"/>
        </w:rPr>
        <w:t xml:space="preserve">Дисципліна «Зелена економіка» забезпечує набуття здобувачами освіти </w:t>
      </w:r>
      <w:r w:rsidRPr="00121FC0">
        <w:rPr>
          <w:rFonts w:ascii="Times New Roman" w:eastAsia="Times New Roman" w:hAnsi="Times New Roman" w:cs="Times New Roman"/>
          <w:b/>
          <w:bCs/>
          <w:sz w:val="20"/>
          <w:szCs w:val="20"/>
        </w:rPr>
        <w:t>компетентностей:</w:t>
      </w:r>
    </w:p>
    <w:p w14:paraId="665B8C2C" w14:textId="77777777" w:rsidR="00BB48EE" w:rsidRPr="00BB48EE" w:rsidRDefault="00BB48EE" w:rsidP="00BB48EE">
      <w:pPr>
        <w:spacing w:after="0" w:line="240" w:lineRule="auto"/>
        <w:ind w:firstLine="567"/>
        <w:jc w:val="both"/>
        <w:rPr>
          <w:rFonts w:ascii="Times New Roman" w:eastAsia="Times New Roman" w:hAnsi="Times New Roman" w:cs="Times New Roman"/>
          <w:sz w:val="20"/>
          <w:szCs w:val="20"/>
        </w:rPr>
      </w:pPr>
      <w:r w:rsidRPr="00BB48EE">
        <w:rPr>
          <w:rFonts w:ascii="Times New Roman" w:eastAsia="Times New Roman" w:hAnsi="Times New Roman" w:cs="Times New Roman"/>
          <w:sz w:val="20"/>
          <w:szCs w:val="20"/>
        </w:rPr>
        <w:t>Інтегральна компетентність</w:t>
      </w:r>
    </w:p>
    <w:p w14:paraId="611D571D" w14:textId="77777777" w:rsidR="00BB48EE" w:rsidRPr="00BB48EE" w:rsidRDefault="00BB48EE" w:rsidP="00BB48EE">
      <w:pPr>
        <w:spacing w:after="0" w:line="240" w:lineRule="auto"/>
        <w:ind w:firstLine="567"/>
        <w:jc w:val="both"/>
        <w:rPr>
          <w:rFonts w:ascii="Times New Roman" w:eastAsia="Times New Roman" w:hAnsi="Times New Roman" w:cs="Times New Roman"/>
          <w:sz w:val="20"/>
          <w:szCs w:val="20"/>
        </w:rPr>
      </w:pPr>
      <w:r w:rsidRPr="00BB48EE">
        <w:rPr>
          <w:rFonts w:ascii="Times New Roman" w:eastAsia="Times New Roman" w:hAnsi="Times New Roman" w:cs="Times New Roman"/>
          <w:sz w:val="20"/>
          <w:szCs w:val="20"/>
        </w:rPr>
        <w:t>Здатність розв’язувати складні спеціалізовані задачі та практичні проблеми в економічній сфері, які характеризуються комплексністю та невизначеністю умов, що передбачає застосування теорій та методів економічної науки.</w:t>
      </w:r>
    </w:p>
    <w:p w14:paraId="3DA3D94A" w14:textId="77777777" w:rsidR="00BB48EE" w:rsidRPr="00BB48EE" w:rsidRDefault="00BB48EE" w:rsidP="00BB48EE">
      <w:pPr>
        <w:spacing w:after="0" w:line="240" w:lineRule="auto"/>
        <w:ind w:firstLine="567"/>
        <w:jc w:val="both"/>
        <w:rPr>
          <w:rFonts w:ascii="Times New Roman" w:eastAsia="Times New Roman" w:hAnsi="Times New Roman" w:cs="Times New Roman"/>
          <w:sz w:val="20"/>
          <w:szCs w:val="20"/>
        </w:rPr>
      </w:pPr>
      <w:r w:rsidRPr="00BB48EE">
        <w:rPr>
          <w:rFonts w:ascii="Times New Roman" w:eastAsia="Times New Roman" w:hAnsi="Times New Roman" w:cs="Times New Roman"/>
          <w:sz w:val="20"/>
          <w:szCs w:val="20"/>
        </w:rPr>
        <w:t xml:space="preserve">Загальні компетентності </w:t>
      </w:r>
    </w:p>
    <w:p w14:paraId="51D3B8FC" w14:textId="77777777" w:rsidR="00BB48EE" w:rsidRPr="00BB48EE" w:rsidRDefault="00BB48EE" w:rsidP="00BB48EE">
      <w:pPr>
        <w:spacing w:after="0" w:line="240" w:lineRule="auto"/>
        <w:ind w:firstLine="567"/>
        <w:jc w:val="both"/>
        <w:rPr>
          <w:rFonts w:ascii="Times New Roman" w:eastAsia="Times New Roman" w:hAnsi="Times New Roman" w:cs="Times New Roman"/>
          <w:sz w:val="20"/>
          <w:szCs w:val="20"/>
        </w:rPr>
      </w:pPr>
      <w:r w:rsidRPr="00BB48EE">
        <w:rPr>
          <w:rFonts w:ascii="Times New Roman" w:eastAsia="Times New Roman" w:hAnsi="Times New Roman" w:cs="Times New Roman"/>
          <w:sz w:val="20"/>
          <w:szCs w:val="20"/>
        </w:rPr>
        <w:t>ЗК 2. Здатність зберігати моральні, культурні, наукові цінності та примножувати досягнення суспільства на основі розуміння історії та закономірностей розвитку предметної області, її місця у загальній системі знань про природу і суспільство та у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w:t>
      </w:r>
    </w:p>
    <w:p w14:paraId="426C71DD" w14:textId="77777777" w:rsidR="00BB48EE" w:rsidRPr="00BB48EE" w:rsidRDefault="00BB48EE" w:rsidP="00BB48EE">
      <w:pPr>
        <w:spacing w:after="0" w:line="240" w:lineRule="auto"/>
        <w:ind w:firstLine="567"/>
        <w:jc w:val="both"/>
        <w:rPr>
          <w:rFonts w:ascii="Times New Roman" w:eastAsia="Times New Roman" w:hAnsi="Times New Roman" w:cs="Times New Roman"/>
          <w:sz w:val="20"/>
          <w:szCs w:val="20"/>
        </w:rPr>
      </w:pPr>
      <w:r w:rsidRPr="00BB48EE">
        <w:rPr>
          <w:rFonts w:ascii="Times New Roman" w:eastAsia="Times New Roman" w:hAnsi="Times New Roman" w:cs="Times New Roman"/>
          <w:sz w:val="20"/>
          <w:szCs w:val="20"/>
        </w:rPr>
        <w:t>ЗК 11. Здатність приймати обґрунтовані рішення.</w:t>
      </w:r>
    </w:p>
    <w:p w14:paraId="55590EB7" w14:textId="77777777" w:rsidR="00BB48EE" w:rsidRPr="00BB48EE" w:rsidRDefault="00BB48EE" w:rsidP="00BB48EE">
      <w:pPr>
        <w:spacing w:after="0" w:line="240" w:lineRule="auto"/>
        <w:ind w:firstLine="567"/>
        <w:jc w:val="both"/>
        <w:rPr>
          <w:rFonts w:ascii="Times New Roman" w:eastAsia="Times New Roman" w:hAnsi="Times New Roman" w:cs="Times New Roman"/>
          <w:sz w:val="20"/>
          <w:szCs w:val="20"/>
        </w:rPr>
      </w:pPr>
      <w:r w:rsidRPr="00BB48EE">
        <w:rPr>
          <w:rFonts w:ascii="Times New Roman" w:eastAsia="Times New Roman" w:hAnsi="Times New Roman" w:cs="Times New Roman"/>
          <w:sz w:val="20"/>
          <w:szCs w:val="20"/>
        </w:rPr>
        <w:t>3К 13. Здатність діяти соціально відповідально та свідомо.</w:t>
      </w:r>
    </w:p>
    <w:p w14:paraId="54965DBE" w14:textId="77777777" w:rsidR="00BB48EE" w:rsidRPr="00BB48EE" w:rsidRDefault="00BB48EE" w:rsidP="00BB48EE">
      <w:pPr>
        <w:spacing w:after="0" w:line="240" w:lineRule="auto"/>
        <w:ind w:firstLine="567"/>
        <w:jc w:val="both"/>
        <w:rPr>
          <w:rFonts w:ascii="Times New Roman" w:eastAsia="Times New Roman" w:hAnsi="Times New Roman" w:cs="Times New Roman"/>
          <w:sz w:val="20"/>
          <w:szCs w:val="20"/>
        </w:rPr>
      </w:pPr>
      <w:r w:rsidRPr="00BB48EE">
        <w:rPr>
          <w:rFonts w:ascii="Times New Roman" w:eastAsia="Times New Roman" w:hAnsi="Times New Roman" w:cs="Times New Roman"/>
          <w:sz w:val="20"/>
          <w:szCs w:val="20"/>
        </w:rPr>
        <w:t>Спеціальні (фахові, предметні) компетентності</w:t>
      </w:r>
    </w:p>
    <w:p w14:paraId="27972501" w14:textId="77777777" w:rsidR="00BB48EE" w:rsidRPr="00BB48EE" w:rsidRDefault="00BB48EE" w:rsidP="00BB48EE">
      <w:pPr>
        <w:spacing w:after="0" w:line="240" w:lineRule="auto"/>
        <w:ind w:firstLine="567"/>
        <w:jc w:val="both"/>
        <w:rPr>
          <w:rFonts w:ascii="Times New Roman" w:eastAsia="Times New Roman" w:hAnsi="Times New Roman" w:cs="Times New Roman"/>
          <w:sz w:val="20"/>
          <w:szCs w:val="20"/>
        </w:rPr>
      </w:pPr>
      <w:r w:rsidRPr="00BB48EE">
        <w:rPr>
          <w:rFonts w:ascii="Times New Roman" w:eastAsia="Times New Roman" w:hAnsi="Times New Roman" w:cs="Times New Roman"/>
          <w:sz w:val="20"/>
          <w:szCs w:val="20"/>
        </w:rPr>
        <w:t>СК 4. Здатність пояснювати економічні та соціальні процеси і явища на основі теоретичних моделей, аналізувати і змістовно інтерпретувати отримані результати.</w:t>
      </w:r>
    </w:p>
    <w:p w14:paraId="6C736F2D" w14:textId="77777777" w:rsidR="00BB48EE" w:rsidRPr="00BB48EE" w:rsidRDefault="00BB48EE" w:rsidP="00BB48EE">
      <w:pPr>
        <w:spacing w:after="0" w:line="240" w:lineRule="auto"/>
        <w:ind w:firstLine="567"/>
        <w:jc w:val="both"/>
        <w:rPr>
          <w:rFonts w:ascii="Times New Roman" w:eastAsia="Times New Roman" w:hAnsi="Times New Roman" w:cs="Times New Roman"/>
          <w:sz w:val="20"/>
          <w:szCs w:val="20"/>
        </w:rPr>
      </w:pPr>
      <w:r w:rsidRPr="00BB48EE">
        <w:rPr>
          <w:rFonts w:ascii="Times New Roman" w:eastAsia="Times New Roman" w:hAnsi="Times New Roman" w:cs="Times New Roman"/>
          <w:sz w:val="20"/>
          <w:szCs w:val="20"/>
        </w:rPr>
        <w:t>СК 5. Розуміння особливостей сучасної світової та національної економіки, їх інституційної структури, обґрунтування напрямів соціальної, економічної та зовнішньоекономічної політики держави.</w:t>
      </w:r>
    </w:p>
    <w:p w14:paraId="237D0D0E" w14:textId="77777777" w:rsidR="00BB48EE" w:rsidRPr="00BB48EE" w:rsidRDefault="00BB48EE" w:rsidP="00BB48EE">
      <w:pPr>
        <w:spacing w:after="0" w:line="240" w:lineRule="auto"/>
        <w:ind w:firstLine="567"/>
        <w:jc w:val="both"/>
        <w:rPr>
          <w:rFonts w:ascii="Times New Roman" w:eastAsia="Times New Roman" w:hAnsi="Times New Roman" w:cs="Times New Roman"/>
          <w:sz w:val="20"/>
          <w:szCs w:val="20"/>
        </w:rPr>
      </w:pPr>
      <w:r w:rsidRPr="00BB48EE">
        <w:rPr>
          <w:rFonts w:ascii="Times New Roman" w:eastAsia="Times New Roman" w:hAnsi="Times New Roman" w:cs="Times New Roman"/>
          <w:sz w:val="20"/>
          <w:szCs w:val="20"/>
        </w:rPr>
        <w:t>СК 12. Здатність самостійно виявляти проблеми економічного характеру при аналізі конкретних ситуацій, пропонувати способи їх вирішення.</w:t>
      </w:r>
    </w:p>
    <w:p w14:paraId="0F6AA7BB" w14:textId="77777777" w:rsidR="00BB48EE" w:rsidRPr="00BB48EE" w:rsidRDefault="00BB48EE" w:rsidP="00BB48EE">
      <w:pPr>
        <w:spacing w:after="0" w:line="240" w:lineRule="auto"/>
        <w:ind w:firstLine="567"/>
        <w:jc w:val="both"/>
        <w:rPr>
          <w:rFonts w:ascii="Times New Roman" w:eastAsia="Times New Roman" w:hAnsi="Times New Roman" w:cs="Times New Roman"/>
          <w:sz w:val="20"/>
          <w:szCs w:val="20"/>
        </w:rPr>
      </w:pPr>
      <w:r w:rsidRPr="00BB48EE">
        <w:rPr>
          <w:rFonts w:ascii="Times New Roman" w:eastAsia="Times New Roman" w:hAnsi="Times New Roman" w:cs="Times New Roman"/>
          <w:sz w:val="20"/>
          <w:szCs w:val="20"/>
        </w:rPr>
        <w:lastRenderedPageBreak/>
        <w:t>СК 14. Здатність поглиблено аналізувати проблеми і явища в одній або декількох професійних сферах з врахуванням економічних ризиків та можливих соціально-економічних наслідків.</w:t>
      </w:r>
    </w:p>
    <w:p w14:paraId="09B17C04" w14:textId="77777777" w:rsidR="00BB48EE" w:rsidRPr="00BB48EE" w:rsidRDefault="00BB48EE" w:rsidP="00BB48EE">
      <w:pPr>
        <w:spacing w:after="0" w:line="240" w:lineRule="auto"/>
        <w:ind w:firstLine="567"/>
        <w:jc w:val="both"/>
        <w:rPr>
          <w:rFonts w:ascii="Times New Roman" w:eastAsia="Times New Roman" w:hAnsi="Times New Roman" w:cs="Times New Roman"/>
          <w:sz w:val="20"/>
          <w:szCs w:val="20"/>
        </w:rPr>
      </w:pPr>
      <w:r w:rsidRPr="00BB48EE">
        <w:rPr>
          <w:rFonts w:ascii="Times New Roman" w:eastAsia="Times New Roman" w:hAnsi="Times New Roman" w:cs="Times New Roman"/>
          <w:sz w:val="20"/>
          <w:szCs w:val="20"/>
        </w:rPr>
        <w:t>СК 17. Здатність самостійно обирати перспективні напрями інноваційної економічної діяльності, ефективно організовувати та розвивати власний бізнес.</w:t>
      </w:r>
    </w:p>
    <w:p w14:paraId="4F8ACD41" w14:textId="77777777" w:rsidR="00121FC0" w:rsidRPr="00121FC0" w:rsidRDefault="00121FC0" w:rsidP="00121FC0">
      <w:pPr>
        <w:spacing w:after="0" w:line="240" w:lineRule="auto"/>
        <w:ind w:firstLine="567"/>
        <w:jc w:val="both"/>
        <w:rPr>
          <w:rFonts w:ascii="Times New Roman" w:eastAsia="Times New Roman" w:hAnsi="Times New Roman" w:cs="Times New Roman"/>
          <w:b/>
          <w:bCs/>
          <w:sz w:val="20"/>
          <w:szCs w:val="20"/>
        </w:rPr>
      </w:pPr>
      <w:r w:rsidRPr="00121FC0">
        <w:rPr>
          <w:rFonts w:ascii="Times New Roman" w:eastAsia="Times New Roman" w:hAnsi="Times New Roman" w:cs="Times New Roman"/>
          <w:b/>
          <w:bCs/>
          <w:sz w:val="20"/>
          <w:szCs w:val="20"/>
        </w:rPr>
        <w:t>Програмні результати навчання:</w:t>
      </w:r>
    </w:p>
    <w:p w14:paraId="1AF11639" w14:textId="77777777" w:rsidR="00121FC0" w:rsidRPr="00121FC0" w:rsidRDefault="00121FC0" w:rsidP="00121FC0">
      <w:pPr>
        <w:spacing w:after="0" w:line="240" w:lineRule="auto"/>
        <w:ind w:firstLine="567"/>
        <w:jc w:val="both"/>
        <w:rPr>
          <w:rFonts w:ascii="Times New Roman" w:eastAsia="Times New Roman" w:hAnsi="Times New Roman" w:cs="Times New Roman"/>
          <w:sz w:val="20"/>
          <w:szCs w:val="20"/>
        </w:rPr>
      </w:pPr>
      <w:r w:rsidRPr="00121FC0">
        <w:rPr>
          <w:rFonts w:ascii="Times New Roman" w:eastAsia="Times New Roman" w:hAnsi="Times New Roman" w:cs="Times New Roman"/>
          <w:sz w:val="20"/>
          <w:szCs w:val="20"/>
        </w:rPr>
        <w:t>ПРН 2. Відтворювати моральні, культурні, наукові цінності, примножувати досягнення суспільства в соціально-економічній сфері, пропагувати ведення здорового способу життя.</w:t>
      </w:r>
    </w:p>
    <w:p w14:paraId="2DEE59DB" w14:textId="77777777" w:rsidR="00121FC0" w:rsidRPr="00121FC0" w:rsidRDefault="00121FC0" w:rsidP="00121FC0">
      <w:pPr>
        <w:spacing w:after="0" w:line="240" w:lineRule="auto"/>
        <w:ind w:firstLine="567"/>
        <w:jc w:val="both"/>
        <w:rPr>
          <w:rFonts w:ascii="Times New Roman" w:eastAsia="Times New Roman" w:hAnsi="Times New Roman" w:cs="Times New Roman"/>
          <w:sz w:val="20"/>
          <w:szCs w:val="20"/>
        </w:rPr>
      </w:pPr>
      <w:r w:rsidRPr="00121FC0">
        <w:rPr>
          <w:rFonts w:ascii="Times New Roman" w:eastAsia="Times New Roman" w:hAnsi="Times New Roman" w:cs="Times New Roman"/>
          <w:sz w:val="20"/>
          <w:szCs w:val="20"/>
        </w:rPr>
        <w:t>ПРН 12. Застосовувати набуті теоретичні знання для розв’язання практичних завдань та змістовно інтерпретувати отримані результати.</w:t>
      </w:r>
    </w:p>
    <w:p w14:paraId="2BF9F589" w14:textId="77777777" w:rsidR="00121FC0" w:rsidRPr="00121FC0" w:rsidRDefault="00121FC0" w:rsidP="00121FC0">
      <w:pPr>
        <w:spacing w:after="0" w:line="240" w:lineRule="auto"/>
        <w:ind w:firstLine="567"/>
        <w:jc w:val="both"/>
        <w:rPr>
          <w:rFonts w:ascii="Times New Roman" w:eastAsia="Times New Roman" w:hAnsi="Times New Roman" w:cs="Times New Roman"/>
          <w:sz w:val="20"/>
          <w:szCs w:val="20"/>
        </w:rPr>
      </w:pPr>
      <w:r w:rsidRPr="00121FC0">
        <w:rPr>
          <w:rFonts w:ascii="Times New Roman" w:eastAsia="Times New Roman" w:hAnsi="Times New Roman" w:cs="Times New Roman"/>
          <w:sz w:val="20"/>
          <w:szCs w:val="20"/>
        </w:rPr>
        <w:t>ПРН 24. Демонструвати здатність діяти соціально відповідально та свідомо на основі етичних принципів, цінувати та поважати культурне різноманіття, індивідуальні відмінності людей.</w:t>
      </w:r>
    </w:p>
    <w:p w14:paraId="2D4E03C4" w14:textId="2F4D4D7B" w:rsidR="00B92A95" w:rsidRPr="00B92A95" w:rsidRDefault="00121FC0" w:rsidP="00121FC0">
      <w:pPr>
        <w:spacing w:after="0" w:line="240" w:lineRule="auto"/>
        <w:ind w:firstLine="567"/>
        <w:jc w:val="both"/>
        <w:rPr>
          <w:rFonts w:ascii="Times New Roman" w:eastAsia="Times New Roman" w:hAnsi="Times New Roman" w:cs="Times New Roman"/>
          <w:sz w:val="20"/>
          <w:szCs w:val="20"/>
        </w:rPr>
      </w:pPr>
      <w:r w:rsidRPr="00121FC0">
        <w:rPr>
          <w:rFonts w:ascii="Times New Roman" w:eastAsia="Times New Roman" w:hAnsi="Times New Roman" w:cs="Times New Roman"/>
          <w:sz w:val="20"/>
          <w:szCs w:val="20"/>
        </w:rPr>
        <w:t>ПРН 27. Демонструвати здатність обирати перспективні напрями інноваційної економічної діяльності, ефективно організовувати та розвивати власний бізнес.</w:t>
      </w:r>
    </w:p>
    <w:p w14:paraId="6BDD96A4" w14:textId="728A1241" w:rsidR="00F23611" w:rsidRDefault="00F23611">
      <w:pPr>
        <w:rPr>
          <w:rFonts w:ascii="Times New Roman" w:hAnsi="Times New Roman" w:cs="Times New Roman"/>
          <w:sz w:val="16"/>
          <w:szCs w:val="16"/>
        </w:rPr>
      </w:pPr>
      <w:r>
        <w:rPr>
          <w:rFonts w:ascii="Times New Roman" w:hAnsi="Times New Roman" w:cs="Times New Roman"/>
          <w:sz w:val="16"/>
          <w:szCs w:val="16"/>
        </w:rPr>
        <w:br w:type="page"/>
      </w:r>
    </w:p>
    <w:p w14:paraId="5DE339BC" w14:textId="4268ED0E" w:rsidR="00104C04" w:rsidRPr="00B8290E" w:rsidRDefault="001E724D" w:rsidP="00D75579">
      <w:pPr>
        <w:pStyle w:val="Heading3"/>
        <w:adjustRightInd w:val="0"/>
        <w:snapToGrid w:val="0"/>
        <w:spacing w:before="0"/>
        <w:ind w:left="0" w:firstLine="567"/>
        <w:jc w:val="center"/>
        <w:rPr>
          <w:rFonts w:ascii="Times New Roman" w:hAnsi="Times New Roman" w:cs="Times New Roman"/>
          <w:sz w:val="20"/>
          <w:szCs w:val="20"/>
        </w:rPr>
      </w:pPr>
      <w:bookmarkStart w:id="6" w:name="_Hlk221212800"/>
      <w:r w:rsidRPr="00B8290E">
        <w:rPr>
          <w:rFonts w:ascii="Times New Roman" w:hAnsi="Times New Roman" w:cs="Times New Roman"/>
          <w:sz w:val="20"/>
          <w:szCs w:val="20"/>
        </w:rPr>
        <w:lastRenderedPageBreak/>
        <w:t xml:space="preserve">Тема </w:t>
      </w:r>
      <w:r w:rsidR="00104C04" w:rsidRPr="00B8290E">
        <w:rPr>
          <w:rFonts w:ascii="Times New Roman" w:hAnsi="Times New Roman" w:cs="Times New Roman"/>
          <w:sz w:val="20"/>
          <w:szCs w:val="20"/>
        </w:rPr>
        <w:t xml:space="preserve">1. </w:t>
      </w:r>
      <w:r w:rsidR="00132B76" w:rsidRPr="00132B76">
        <w:rPr>
          <w:rFonts w:ascii="Times New Roman" w:hAnsi="Times New Roman" w:cs="Times New Roman"/>
          <w:sz w:val="20"/>
          <w:szCs w:val="20"/>
        </w:rPr>
        <w:t>Концептуальні засади, суть та функції «зеленої» економіки</w:t>
      </w:r>
    </w:p>
    <w:bookmarkEnd w:id="6"/>
    <w:p w14:paraId="6F11FF22" w14:textId="77777777" w:rsidR="00295683" w:rsidRPr="00B8290E" w:rsidRDefault="00295683" w:rsidP="0012192B">
      <w:pPr>
        <w:pStyle w:val="Heading3"/>
        <w:adjustRightInd w:val="0"/>
        <w:snapToGrid w:val="0"/>
        <w:spacing w:before="0"/>
        <w:ind w:left="0" w:firstLine="567"/>
        <w:jc w:val="both"/>
        <w:rPr>
          <w:rFonts w:ascii="Times New Roman" w:hAnsi="Times New Roman" w:cs="Times New Roman"/>
          <w:b w:val="0"/>
          <w:bCs w:val="0"/>
          <w:sz w:val="20"/>
          <w:szCs w:val="20"/>
        </w:rPr>
      </w:pPr>
    </w:p>
    <w:p w14:paraId="79624ADA" w14:textId="6F178677" w:rsidR="008970A3" w:rsidRPr="00B8290E" w:rsidRDefault="008970A3" w:rsidP="0012192B">
      <w:pPr>
        <w:adjustRightInd w:val="0"/>
        <w:snapToGrid w:val="0"/>
        <w:spacing w:after="0" w:line="240" w:lineRule="auto"/>
        <w:ind w:firstLine="567"/>
        <w:jc w:val="both"/>
        <w:rPr>
          <w:rFonts w:ascii="Times New Roman" w:hAnsi="Times New Roman" w:cs="Times New Roman"/>
          <w:sz w:val="20"/>
          <w:szCs w:val="20"/>
        </w:rPr>
      </w:pPr>
      <w:r w:rsidRPr="00B8290E">
        <w:rPr>
          <w:rFonts w:ascii="Times New Roman" w:hAnsi="Times New Roman" w:cs="Times New Roman"/>
          <w:sz w:val="20"/>
          <w:szCs w:val="20"/>
        </w:rPr>
        <w:t>ХХІ в умовах ресурсних та екологічних обмежень, сповільнення економічного зростання та підвищення вимог до соціальної справедливості роль держав та міжнародних установ у регулюванні економіки, а особливо системи природокористування, має тенденцію до зростання.</w:t>
      </w:r>
    </w:p>
    <w:p w14:paraId="66B29F61" w14:textId="7BED2DAB" w:rsidR="00054256" w:rsidRPr="00B8290E" w:rsidRDefault="008970A3" w:rsidP="002816AF">
      <w:pPr>
        <w:adjustRightInd w:val="0"/>
        <w:snapToGrid w:val="0"/>
        <w:spacing w:after="0" w:line="240" w:lineRule="auto"/>
        <w:ind w:firstLine="567"/>
        <w:jc w:val="both"/>
        <w:rPr>
          <w:rFonts w:ascii="Times New Roman" w:hAnsi="Times New Roman" w:cs="Times New Roman"/>
          <w:sz w:val="20"/>
          <w:szCs w:val="20"/>
        </w:rPr>
      </w:pPr>
      <w:r w:rsidRPr="00B8290E">
        <w:rPr>
          <w:rFonts w:ascii="Times New Roman" w:hAnsi="Times New Roman" w:cs="Times New Roman"/>
          <w:sz w:val="20"/>
          <w:szCs w:val="20"/>
        </w:rPr>
        <w:t>Наростання дефіциту природних ресурсів і кризові екологічні ситуації в експертному середовищі та дедалі частіше в колі управлінців сприймаються вже не просто як проблеми, а як глобальні загрози. Адже глобальні зміни клімату та вичерпання ресурсів нафти й інших енергоносіїв стають чинниками соціальної дестабілізації. Скорочується не тільки кількість доступних для використання</w:t>
      </w:r>
      <w:r w:rsidR="002816AF" w:rsidRPr="00C37F1C">
        <w:rPr>
          <w:rFonts w:ascii="Times New Roman" w:hAnsi="Times New Roman" w:cs="Times New Roman"/>
          <w:sz w:val="20"/>
          <w:szCs w:val="20"/>
        </w:rPr>
        <w:t xml:space="preserve"> </w:t>
      </w:r>
      <w:r w:rsidR="00054256" w:rsidRPr="00B8290E">
        <w:rPr>
          <w:rFonts w:ascii="Times New Roman" w:hAnsi="Times New Roman" w:cs="Times New Roman"/>
          <w:sz w:val="20"/>
          <w:szCs w:val="20"/>
        </w:rPr>
        <w:t>природних ресурсів, але й постійно скорочується їх якість та збільшується кількість відходів, а цей процес має зворотній додатній зв'язок.</w:t>
      </w:r>
    </w:p>
    <w:p w14:paraId="7AC56B6C" w14:textId="2E66F2F0" w:rsidR="00D77F66" w:rsidRPr="00C37F1C" w:rsidRDefault="00054256" w:rsidP="0012192B">
      <w:pPr>
        <w:adjustRightInd w:val="0"/>
        <w:snapToGrid w:val="0"/>
        <w:spacing w:after="0" w:line="240" w:lineRule="auto"/>
        <w:ind w:firstLine="567"/>
        <w:jc w:val="both"/>
        <w:rPr>
          <w:rFonts w:ascii="Times New Roman" w:hAnsi="Times New Roman" w:cs="Times New Roman"/>
          <w:sz w:val="20"/>
          <w:szCs w:val="20"/>
        </w:rPr>
      </w:pPr>
      <w:r w:rsidRPr="00B8290E">
        <w:rPr>
          <w:rFonts w:ascii="Times New Roman" w:hAnsi="Times New Roman" w:cs="Times New Roman"/>
          <w:sz w:val="20"/>
          <w:szCs w:val="20"/>
        </w:rPr>
        <w:t>Учені стверджують, що занепокоєння людей накопиченням матеріальних цінностей перетворило природу на бездуховне  середовище  проживання, а найвища істота в цьому середовищі дозволяє собі підкорювати і споживати, використовуючи науковий доробок і технічні засоби. Зокрема, В.</w:t>
      </w:r>
      <w:r w:rsidR="006052E9" w:rsidRPr="00C37F1C">
        <w:rPr>
          <w:rFonts w:ascii="Times New Roman" w:hAnsi="Times New Roman" w:cs="Times New Roman"/>
          <w:sz w:val="20"/>
          <w:szCs w:val="20"/>
        </w:rPr>
        <w:t xml:space="preserve"> </w:t>
      </w:r>
      <w:r w:rsidRPr="00B8290E">
        <w:rPr>
          <w:rFonts w:ascii="Times New Roman" w:hAnsi="Times New Roman" w:cs="Times New Roman"/>
          <w:sz w:val="20"/>
          <w:szCs w:val="20"/>
        </w:rPr>
        <w:t xml:space="preserve">Хесле вважає, якщо не вдасться запобігти глобальній екологічній кризі, то соціальні катастрофи, які пророкував К. Маркс, </w:t>
      </w:r>
      <w:r w:rsidR="00052C66" w:rsidRPr="00B8290E">
        <w:rPr>
          <w:rFonts w:ascii="Times New Roman" w:hAnsi="Times New Roman" w:cs="Times New Roman"/>
          <w:sz w:val="20"/>
          <w:szCs w:val="20"/>
        </w:rPr>
        <w:t>задуються</w:t>
      </w:r>
      <w:r w:rsidRPr="00B8290E">
        <w:rPr>
          <w:rFonts w:ascii="Times New Roman" w:hAnsi="Times New Roman" w:cs="Times New Roman"/>
          <w:sz w:val="20"/>
          <w:szCs w:val="20"/>
        </w:rPr>
        <w:t xml:space="preserve"> дитячою забавкою порівняно з прийдешніми катаклізмами</w:t>
      </w:r>
      <w:r w:rsidRPr="00C37F1C">
        <w:rPr>
          <w:rFonts w:ascii="Times New Roman" w:hAnsi="Times New Roman" w:cs="Times New Roman"/>
          <w:sz w:val="20"/>
          <w:szCs w:val="20"/>
        </w:rPr>
        <w:t>.</w:t>
      </w:r>
    </w:p>
    <w:p w14:paraId="0F7C7AF0" w14:textId="77777777" w:rsidR="00050603" w:rsidRPr="00B8290E" w:rsidRDefault="00050603" w:rsidP="0012192B">
      <w:pPr>
        <w:adjustRightInd w:val="0"/>
        <w:snapToGrid w:val="0"/>
        <w:spacing w:after="0" w:line="240" w:lineRule="auto"/>
        <w:ind w:firstLine="567"/>
        <w:jc w:val="both"/>
        <w:rPr>
          <w:rFonts w:ascii="Times New Roman" w:hAnsi="Times New Roman" w:cs="Times New Roman"/>
          <w:sz w:val="20"/>
          <w:szCs w:val="20"/>
        </w:rPr>
      </w:pPr>
      <w:r w:rsidRPr="00B8290E">
        <w:rPr>
          <w:rFonts w:ascii="Times New Roman" w:hAnsi="Times New Roman" w:cs="Times New Roman"/>
          <w:sz w:val="20"/>
          <w:szCs w:val="20"/>
        </w:rPr>
        <w:t>Сто років тому глобальна ресурсна криза не стояла на порядку денному, і про «зелену» економіку як рецепт виходу із системної рецесії не йшлося.</w:t>
      </w:r>
    </w:p>
    <w:p w14:paraId="3585008F" w14:textId="6DCF87D0" w:rsidR="00050603" w:rsidRPr="00B8290E" w:rsidRDefault="00050603" w:rsidP="0012192B">
      <w:pPr>
        <w:adjustRightInd w:val="0"/>
        <w:snapToGrid w:val="0"/>
        <w:spacing w:after="0" w:line="240" w:lineRule="auto"/>
        <w:ind w:firstLine="567"/>
        <w:jc w:val="both"/>
        <w:rPr>
          <w:rFonts w:ascii="Times New Roman" w:hAnsi="Times New Roman" w:cs="Times New Roman"/>
          <w:sz w:val="20"/>
          <w:szCs w:val="20"/>
        </w:rPr>
      </w:pPr>
      <w:r w:rsidRPr="00B8290E">
        <w:rPr>
          <w:rFonts w:ascii="Times New Roman" w:hAnsi="Times New Roman" w:cs="Times New Roman"/>
          <w:sz w:val="20"/>
          <w:szCs w:val="20"/>
        </w:rPr>
        <w:t>При цьому через специфіку ресурсної та екологічної кризи і</w:t>
      </w:r>
      <w:r w:rsidR="00FE63B2" w:rsidRPr="00C37F1C">
        <w:rPr>
          <w:rFonts w:ascii="Times New Roman" w:hAnsi="Times New Roman" w:cs="Times New Roman"/>
          <w:sz w:val="20"/>
          <w:szCs w:val="20"/>
        </w:rPr>
        <w:t xml:space="preserve"> </w:t>
      </w:r>
      <w:r w:rsidRPr="00B8290E">
        <w:rPr>
          <w:rFonts w:ascii="Times New Roman" w:hAnsi="Times New Roman" w:cs="Times New Roman"/>
          <w:sz w:val="20"/>
          <w:szCs w:val="20"/>
        </w:rPr>
        <w:t>сучасні тенденції розвитку світової економічної системи загрози соціальній стабільності мають глобальний характер, а їх подолання є компетенцією не тільки державних, а й міжнародних інститутів. Проте наслідки глобалізації є неоднозначними. Зокрема, симпатики глобалізації зазначають, що входження до системи міжнародної торгівлі допомогло багатьом країнам значно підвищити темпи зростання. Сучасна економічна глобалізація підвищує мобільність виробництва, капіталу, товарів, послуг і людей, спричиняє постійне зростання потоку чотирьох «i» (інвестицій (</w:t>
      </w:r>
      <w:r w:rsidRPr="00B8290E">
        <w:rPr>
          <w:rFonts w:ascii="Times New Roman" w:hAnsi="Times New Roman" w:cs="Times New Roman"/>
          <w:i/>
          <w:sz w:val="20"/>
          <w:szCs w:val="20"/>
        </w:rPr>
        <w:t>investments</w:t>
      </w:r>
      <w:r w:rsidRPr="00B8290E">
        <w:rPr>
          <w:rFonts w:ascii="Times New Roman" w:hAnsi="Times New Roman" w:cs="Times New Roman"/>
          <w:sz w:val="20"/>
          <w:szCs w:val="20"/>
        </w:rPr>
        <w:t>), промисловості, індустрії (</w:t>
      </w:r>
      <w:r w:rsidRPr="00B8290E">
        <w:rPr>
          <w:rFonts w:ascii="Times New Roman" w:hAnsi="Times New Roman" w:cs="Times New Roman"/>
          <w:i/>
          <w:sz w:val="20"/>
          <w:szCs w:val="20"/>
        </w:rPr>
        <w:t>industries</w:t>
      </w:r>
      <w:r w:rsidRPr="00B8290E">
        <w:rPr>
          <w:rFonts w:ascii="Times New Roman" w:hAnsi="Times New Roman" w:cs="Times New Roman"/>
          <w:sz w:val="20"/>
          <w:szCs w:val="20"/>
        </w:rPr>
        <w:t>), інформації (</w:t>
      </w:r>
      <w:r w:rsidRPr="00B8290E">
        <w:rPr>
          <w:rFonts w:ascii="Times New Roman" w:hAnsi="Times New Roman" w:cs="Times New Roman"/>
          <w:i/>
          <w:sz w:val="20"/>
          <w:szCs w:val="20"/>
        </w:rPr>
        <w:t>information</w:t>
      </w:r>
      <w:r w:rsidRPr="00B8290E">
        <w:rPr>
          <w:rFonts w:ascii="Times New Roman" w:hAnsi="Times New Roman" w:cs="Times New Roman"/>
          <w:sz w:val="20"/>
          <w:szCs w:val="20"/>
        </w:rPr>
        <w:t>), індивідів (</w:t>
      </w:r>
      <w:r w:rsidRPr="00B8290E">
        <w:rPr>
          <w:rFonts w:ascii="Times New Roman" w:hAnsi="Times New Roman" w:cs="Times New Roman"/>
          <w:i/>
          <w:sz w:val="20"/>
          <w:szCs w:val="20"/>
        </w:rPr>
        <w:t>individuals</w:t>
      </w:r>
      <w:r w:rsidRPr="00B8290E">
        <w:rPr>
          <w:rFonts w:ascii="Times New Roman" w:hAnsi="Times New Roman" w:cs="Times New Roman"/>
          <w:sz w:val="20"/>
          <w:szCs w:val="20"/>
        </w:rPr>
        <w:t>) через національні кордони, сприяє формуванню нового типу соціальних відносин2.</w:t>
      </w:r>
    </w:p>
    <w:p w14:paraId="4A7350B4" w14:textId="5BC591EF" w:rsidR="00050603" w:rsidRPr="00B8290E" w:rsidRDefault="00050603" w:rsidP="0012192B">
      <w:pPr>
        <w:adjustRightInd w:val="0"/>
        <w:snapToGrid w:val="0"/>
        <w:spacing w:after="0" w:line="240" w:lineRule="auto"/>
        <w:ind w:firstLine="567"/>
        <w:jc w:val="both"/>
        <w:rPr>
          <w:rFonts w:ascii="Times New Roman" w:hAnsi="Times New Roman" w:cs="Times New Roman"/>
          <w:sz w:val="20"/>
          <w:szCs w:val="20"/>
        </w:rPr>
      </w:pPr>
      <w:r w:rsidRPr="00B8290E">
        <w:rPr>
          <w:rFonts w:ascii="Times New Roman" w:hAnsi="Times New Roman" w:cs="Times New Roman"/>
          <w:sz w:val="20"/>
          <w:szCs w:val="20"/>
        </w:rPr>
        <w:t xml:space="preserve">В умовах </w:t>
      </w:r>
      <w:r w:rsidRPr="00B8290E">
        <w:rPr>
          <w:rFonts w:ascii="Times New Roman" w:hAnsi="Times New Roman" w:cs="Times New Roman"/>
          <w:b/>
          <w:sz w:val="20"/>
          <w:szCs w:val="20"/>
        </w:rPr>
        <w:t xml:space="preserve">еколого-ресурсних загроз </w:t>
      </w:r>
      <w:r w:rsidRPr="00B8290E">
        <w:rPr>
          <w:rFonts w:ascii="Times New Roman" w:hAnsi="Times New Roman" w:cs="Times New Roman"/>
          <w:sz w:val="20"/>
          <w:szCs w:val="20"/>
        </w:rPr>
        <w:t>соціальна стабільність, під якою прийнято розуміти стійкий стан соціальної системи, що дозволяє їй ефективно функціонувати та розвиватися в умовах зовнішніх і внутрішніх дій, зберігаючи свою структуру й основні якісні параметри, є критерієм ефективності економіки та метою інноваційної діяльності.</w:t>
      </w:r>
    </w:p>
    <w:p w14:paraId="2620BAAE" w14:textId="77777777" w:rsidR="0093587C" w:rsidRPr="00B8290E" w:rsidRDefault="00050603" w:rsidP="0012192B">
      <w:pPr>
        <w:adjustRightInd w:val="0"/>
        <w:snapToGrid w:val="0"/>
        <w:spacing w:after="0" w:line="240" w:lineRule="auto"/>
        <w:ind w:firstLine="567"/>
        <w:jc w:val="both"/>
        <w:rPr>
          <w:rFonts w:ascii="Times New Roman" w:hAnsi="Times New Roman" w:cs="Times New Roman"/>
          <w:sz w:val="20"/>
          <w:szCs w:val="20"/>
        </w:rPr>
      </w:pPr>
      <w:r w:rsidRPr="00B8290E">
        <w:rPr>
          <w:rFonts w:ascii="Times New Roman" w:hAnsi="Times New Roman" w:cs="Times New Roman"/>
          <w:sz w:val="20"/>
          <w:szCs w:val="20"/>
        </w:rPr>
        <w:t xml:space="preserve">На сьогодні можна констатувати, що в питанні контролю над ресурсами людство пройшло декілька етапів – від приватного до державного та національного – і рухається до міжнародного конролю (таблиця 1.1). </w:t>
      </w:r>
    </w:p>
    <w:p w14:paraId="44EBF2AA" w14:textId="19B08BF9" w:rsidR="00050603" w:rsidRPr="00B8290E" w:rsidRDefault="00050603" w:rsidP="0012192B">
      <w:pPr>
        <w:adjustRightInd w:val="0"/>
        <w:snapToGrid w:val="0"/>
        <w:spacing w:after="0" w:line="240" w:lineRule="auto"/>
        <w:ind w:firstLine="567"/>
        <w:jc w:val="both"/>
        <w:rPr>
          <w:rFonts w:ascii="Times New Roman" w:hAnsi="Times New Roman" w:cs="Times New Roman"/>
          <w:sz w:val="20"/>
          <w:szCs w:val="20"/>
        </w:rPr>
      </w:pPr>
      <w:r w:rsidRPr="00B8290E">
        <w:rPr>
          <w:rFonts w:ascii="Times New Roman" w:hAnsi="Times New Roman" w:cs="Times New Roman"/>
          <w:sz w:val="20"/>
          <w:szCs w:val="20"/>
        </w:rPr>
        <w:lastRenderedPageBreak/>
        <w:t>Отже, на часі є питання не тільки про відкриті ринки, але й про відкритий доступ до використання природних ресурсів.</w:t>
      </w:r>
    </w:p>
    <w:p w14:paraId="687C0673" w14:textId="13C7A434" w:rsidR="00574753" w:rsidRPr="00B8290E" w:rsidRDefault="00050603" w:rsidP="0012192B">
      <w:pPr>
        <w:adjustRightInd w:val="0"/>
        <w:snapToGrid w:val="0"/>
        <w:spacing w:after="0" w:line="240" w:lineRule="auto"/>
        <w:ind w:firstLine="567"/>
        <w:jc w:val="both"/>
        <w:rPr>
          <w:rFonts w:ascii="Times New Roman" w:hAnsi="Times New Roman" w:cs="Times New Roman"/>
          <w:sz w:val="20"/>
          <w:szCs w:val="20"/>
        </w:rPr>
      </w:pPr>
      <w:r w:rsidRPr="00B8290E">
        <w:rPr>
          <w:rFonts w:ascii="Times New Roman" w:hAnsi="Times New Roman" w:cs="Times New Roman"/>
          <w:sz w:val="20"/>
          <w:szCs w:val="20"/>
        </w:rPr>
        <w:t>Триває становлення нової, гармонійної, екологічно врівноваженої, філософсько-ідеологічної бази, що певною мірою  виражається  в  концепції  ста</w:t>
      </w:r>
      <w:r w:rsidR="00574753" w:rsidRPr="00B8290E">
        <w:rPr>
          <w:rFonts w:ascii="Times New Roman" w:hAnsi="Times New Roman" w:cs="Times New Roman"/>
          <w:sz w:val="20"/>
          <w:szCs w:val="20"/>
        </w:rPr>
        <w:t>лого розвитку людства. Закріплення цих тенденцій у міжнародних і національних правових актах є основою регулювання взаємовідносин суспільства і природного середовища у правових державах.</w:t>
      </w:r>
    </w:p>
    <w:p w14:paraId="35B343D1" w14:textId="15523F89" w:rsidR="0093587C" w:rsidRPr="00B8290E" w:rsidRDefault="00574753" w:rsidP="0012192B">
      <w:pPr>
        <w:adjustRightInd w:val="0"/>
        <w:snapToGrid w:val="0"/>
        <w:spacing w:after="0" w:line="240" w:lineRule="auto"/>
        <w:ind w:firstLine="567"/>
        <w:jc w:val="both"/>
        <w:rPr>
          <w:rFonts w:ascii="Times New Roman" w:hAnsi="Times New Roman" w:cs="Times New Roman"/>
          <w:sz w:val="20"/>
          <w:szCs w:val="20"/>
        </w:rPr>
      </w:pPr>
      <w:r w:rsidRPr="00B8290E">
        <w:rPr>
          <w:rFonts w:ascii="Times New Roman" w:hAnsi="Times New Roman" w:cs="Times New Roman"/>
          <w:sz w:val="20"/>
          <w:szCs w:val="20"/>
        </w:rPr>
        <w:t>У суспільстві зміни відбуваються у формі свідомої діяльності на основі потреб, інтересів і цілей людей. Унаслідок цього не природа визначає людську історію, а навпаки, від рівня та характеру розвитку суспільства, його соціально-економічної структури значною мірою залежать стан і межі навколишнього природного середовища. З метою задоволення збільшуваних потреб люди використовують і перетворюють природу, реалізуючи у такий спосіб свої творчі прагнення і здібності. Природа є умовою суспільного розвитку, діяльності людей.</w:t>
      </w:r>
    </w:p>
    <w:p w14:paraId="79104B1B" w14:textId="7EDD0033" w:rsidR="00574753" w:rsidRPr="00B8290E" w:rsidRDefault="00574753" w:rsidP="0012192B">
      <w:pPr>
        <w:adjustRightInd w:val="0"/>
        <w:snapToGrid w:val="0"/>
        <w:spacing w:after="0" w:line="240" w:lineRule="auto"/>
        <w:ind w:firstLine="567"/>
        <w:jc w:val="both"/>
        <w:rPr>
          <w:rFonts w:ascii="Times New Roman" w:hAnsi="Times New Roman" w:cs="Times New Roman"/>
          <w:sz w:val="20"/>
          <w:szCs w:val="20"/>
        </w:rPr>
      </w:pPr>
      <w:r w:rsidRPr="00B8290E">
        <w:rPr>
          <w:rFonts w:ascii="Times New Roman" w:hAnsi="Times New Roman" w:cs="Times New Roman"/>
          <w:sz w:val="20"/>
          <w:szCs w:val="20"/>
        </w:rPr>
        <w:t>Наскільки і як цю умову використовуватимуть, залежить від таких чинників, як потреби суспільства, міра пізнання об’єктивної необхідності та творчої активності людини.</w:t>
      </w:r>
    </w:p>
    <w:p w14:paraId="011E4924" w14:textId="77777777" w:rsidR="00574753" w:rsidRPr="00B8290E" w:rsidRDefault="00574753" w:rsidP="0012192B">
      <w:pPr>
        <w:adjustRightInd w:val="0"/>
        <w:snapToGrid w:val="0"/>
        <w:spacing w:after="0" w:line="240" w:lineRule="auto"/>
        <w:ind w:firstLine="567"/>
        <w:jc w:val="both"/>
        <w:rPr>
          <w:rFonts w:ascii="Times New Roman" w:hAnsi="Times New Roman" w:cs="Times New Roman"/>
          <w:sz w:val="20"/>
          <w:szCs w:val="20"/>
        </w:rPr>
      </w:pPr>
      <w:r w:rsidRPr="00B8290E">
        <w:rPr>
          <w:rFonts w:ascii="Times New Roman" w:hAnsi="Times New Roman" w:cs="Times New Roman"/>
          <w:sz w:val="20"/>
          <w:szCs w:val="20"/>
        </w:rPr>
        <w:t>Тепер ми перебуваємо на початку етапу, який характеризують такі риси:</w:t>
      </w:r>
    </w:p>
    <w:p w14:paraId="01E8A726" w14:textId="77777777" w:rsidR="00574753" w:rsidRPr="00B8290E" w:rsidRDefault="00574753" w:rsidP="0012192B">
      <w:pPr>
        <w:numPr>
          <w:ilvl w:val="0"/>
          <w:numId w:val="1"/>
        </w:numPr>
        <w:adjustRightInd w:val="0"/>
        <w:snapToGrid w:val="0"/>
        <w:spacing w:after="0" w:line="240" w:lineRule="auto"/>
        <w:ind w:left="0" w:firstLine="567"/>
        <w:jc w:val="both"/>
        <w:rPr>
          <w:rFonts w:ascii="Times New Roman" w:hAnsi="Times New Roman" w:cs="Times New Roman"/>
          <w:sz w:val="20"/>
          <w:szCs w:val="20"/>
        </w:rPr>
      </w:pPr>
      <w:r w:rsidRPr="00B8290E">
        <w:rPr>
          <w:rFonts w:ascii="Times New Roman" w:hAnsi="Times New Roman" w:cs="Times New Roman"/>
          <w:sz w:val="20"/>
          <w:szCs w:val="20"/>
        </w:rPr>
        <w:t>перевищення екологічної емності біосфери;</w:t>
      </w:r>
    </w:p>
    <w:p w14:paraId="556111B4" w14:textId="44240719" w:rsidR="00574753" w:rsidRPr="00B8290E" w:rsidRDefault="00574753" w:rsidP="0012192B">
      <w:pPr>
        <w:numPr>
          <w:ilvl w:val="0"/>
          <w:numId w:val="1"/>
        </w:numPr>
        <w:adjustRightInd w:val="0"/>
        <w:snapToGrid w:val="0"/>
        <w:spacing w:after="0" w:line="240" w:lineRule="auto"/>
        <w:ind w:left="0" w:firstLine="567"/>
        <w:jc w:val="both"/>
        <w:rPr>
          <w:rFonts w:ascii="Times New Roman" w:hAnsi="Times New Roman" w:cs="Times New Roman"/>
          <w:sz w:val="20"/>
          <w:szCs w:val="20"/>
        </w:rPr>
      </w:pPr>
      <w:r w:rsidRPr="00B8290E">
        <w:rPr>
          <w:rFonts w:ascii="Times New Roman" w:hAnsi="Times New Roman" w:cs="Times New Roman"/>
          <w:sz w:val="20"/>
          <w:szCs w:val="20"/>
        </w:rPr>
        <w:t>перевищення в 1,2 раза екологічного сліду;</w:t>
      </w:r>
    </w:p>
    <w:p w14:paraId="07F114E0" w14:textId="38EB6A07" w:rsidR="00574753" w:rsidRPr="00B8290E" w:rsidRDefault="00574753" w:rsidP="0012192B">
      <w:pPr>
        <w:numPr>
          <w:ilvl w:val="0"/>
          <w:numId w:val="1"/>
        </w:numPr>
        <w:adjustRightInd w:val="0"/>
        <w:snapToGrid w:val="0"/>
        <w:spacing w:after="0" w:line="240" w:lineRule="auto"/>
        <w:ind w:left="0" w:firstLine="567"/>
        <w:jc w:val="both"/>
        <w:rPr>
          <w:rFonts w:ascii="Times New Roman" w:hAnsi="Times New Roman" w:cs="Times New Roman"/>
          <w:sz w:val="20"/>
          <w:szCs w:val="20"/>
        </w:rPr>
      </w:pPr>
      <w:r w:rsidRPr="00B8290E">
        <w:rPr>
          <w:rFonts w:ascii="Times New Roman" w:hAnsi="Times New Roman" w:cs="Times New Roman"/>
          <w:sz w:val="20"/>
          <w:szCs w:val="20"/>
        </w:rPr>
        <w:t>прискорене демографічне зростання;</w:t>
      </w:r>
    </w:p>
    <w:p w14:paraId="46BA7E83" w14:textId="77777777" w:rsidR="00574753" w:rsidRPr="00B8290E" w:rsidRDefault="00574753" w:rsidP="0012192B">
      <w:pPr>
        <w:numPr>
          <w:ilvl w:val="0"/>
          <w:numId w:val="1"/>
        </w:numPr>
        <w:adjustRightInd w:val="0"/>
        <w:snapToGrid w:val="0"/>
        <w:spacing w:after="0" w:line="240" w:lineRule="auto"/>
        <w:ind w:left="0" w:firstLine="567"/>
        <w:jc w:val="both"/>
        <w:rPr>
          <w:rFonts w:ascii="Times New Roman" w:hAnsi="Times New Roman" w:cs="Times New Roman"/>
          <w:sz w:val="20"/>
          <w:szCs w:val="20"/>
        </w:rPr>
      </w:pPr>
      <w:r w:rsidRPr="00B8290E">
        <w:rPr>
          <w:rFonts w:ascii="Times New Roman" w:hAnsi="Times New Roman" w:cs="Times New Roman"/>
          <w:sz w:val="20"/>
          <w:szCs w:val="20"/>
        </w:rPr>
        <w:t>початок глобальних кліматичних змін.</w:t>
      </w:r>
    </w:p>
    <w:p w14:paraId="11692E56" w14:textId="6E8E1158" w:rsidR="0093587C" w:rsidRPr="00C37F1C" w:rsidRDefault="00574753" w:rsidP="0093587C">
      <w:pPr>
        <w:adjustRightInd w:val="0"/>
        <w:snapToGrid w:val="0"/>
        <w:spacing w:after="0" w:line="240" w:lineRule="auto"/>
        <w:ind w:firstLine="567"/>
        <w:jc w:val="both"/>
        <w:rPr>
          <w:rFonts w:ascii="Times New Roman" w:hAnsi="Times New Roman" w:cs="Times New Roman"/>
          <w:sz w:val="20"/>
          <w:szCs w:val="20"/>
        </w:rPr>
      </w:pPr>
      <w:r w:rsidRPr="00B8290E">
        <w:rPr>
          <w:rFonts w:ascii="Times New Roman" w:hAnsi="Times New Roman" w:cs="Times New Roman"/>
          <w:sz w:val="20"/>
          <w:szCs w:val="20"/>
        </w:rPr>
        <w:t xml:space="preserve">Сутність та природа </w:t>
      </w:r>
      <w:r w:rsidRPr="00B8290E">
        <w:rPr>
          <w:rFonts w:ascii="Times New Roman" w:hAnsi="Times New Roman" w:cs="Times New Roman"/>
          <w:b/>
          <w:sz w:val="20"/>
          <w:szCs w:val="20"/>
        </w:rPr>
        <w:t>сучасних трансформацій економіки</w:t>
      </w:r>
      <w:r w:rsidRPr="00B8290E">
        <w:rPr>
          <w:rFonts w:ascii="Times New Roman" w:hAnsi="Times New Roman" w:cs="Times New Roman"/>
          <w:sz w:val="20"/>
          <w:szCs w:val="20"/>
        </w:rPr>
        <w:t>, що активно виявляються вже кілька років поспіль і називаються глобальною економічною кризою, є предметом дискусії вчених та управлінців. Так само дискусійними є і конкретні чинники впливу на екологічну безпеку, хоча загалом зрозуміло, що причиною екологічної кризи є негативний техногенний вплив. Вивчення причин трансформації природного середовища, природних умов і ресурсів почали оприлюднюватися в доповідях Римському клубу в 70-х роках, коли на основі статистичного лінійного аналізу було виявлено нові закономірності</w:t>
      </w:r>
      <w:r w:rsidR="0093587C" w:rsidRPr="00C37F1C">
        <w:rPr>
          <w:rFonts w:ascii="Times New Roman" w:hAnsi="Times New Roman" w:cs="Times New Roman"/>
          <w:sz w:val="20"/>
          <w:szCs w:val="20"/>
        </w:rPr>
        <w:t>.</w:t>
      </w:r>
    </w:p>
    <w:p w14:paraId="312C0838" w14:textId="534BA307" w:rsidR="0093587C" w:rsidRDefault="00121FC0" w:rsidP="00121FC0">
      <w:pPr>
        <w:adjustRightInd w:val="0"/>
        <w:snapToGrid w:val="0"/>
        <w:spacing w:after="0" w:line="240" w:lineRule="auto"/>
        <w:ind w:firstLine="567"/>
        <w:jc w:val="right"/>
        <w:rPr>
          <w:rFonts w:ascii="Times New Roman" w:hAnsi="Times New Roman" w:cs="Times New Roman"/>
          <w:sz w:val="20"/>
          <w:szCs w:val="20"/>
        </w:rPr>
      </w:pPr>
      <w:r>
        <w:rPr>
          <w:rFonts w:ascii="Times New Roman" w:hAnsi="Times New Roman" w:cs="Times New Roman"/>
          <w:sz w:val="20"/>
          <w:szCs w:val="20"/>
        </w:rPr>
        <w:t>Таблиця 1.1</w:t>
      </w:r>
    </w:p>
    <w:p w14:paraId="5D0587BE" w14:textId="44E990C8" w:rsidR="00121FC0" w:rsidRPr="00121FC0" w:rsidRDefault="00121FC0" w:rsidP="00AB7DDD">
      <w:pPr>
        <w:adjustRightInd w:val="0"/>
        <w:snapToGrid w:val="0"/>
        <w:spacing w:after="0" w:line="240" w:lineRule="auto"/>
        <w:ind w:firstLine="567"/>
        <w:jc w:val="center"/>
        <w:rPr>
          <w:rFonts w:ascii="Times New Roman" w:hAnsi="Times New Roman" w:cs="Times New Roman"/>
          <w:sz w:val="20"/>
          <w:szCs w:val="20"/>
        </w:rPr>
      </w:pPr>
      <w:r>
        <w:rPr>
          <w:rFonts w:ascii="Times New Roman" w:hAnsi="Times New Roman" w:cs="Times New Roman"/>
          <w:sz w:val="20"/>
          <w:szCs w:val="20"/>
        </w:rPr>
        <w:t xml:space="preserve">Етапи еволюції </w:t>
      </w:r>
      <w:r w:rsidR="00AB7DDD">
        <w:rPr>
          <w:rFonts w:ascii="Times New Roman" w:hAnsi="Times New Roman" w:cs="Times New Roman"/>
          <w:sz w:val="20"/>
          <w:szCs w:val="20"/>
        </w:rPr>
        <w:t>«Зеленої економіки»</w:t>
      </w:r>
    </w:p>
    <w:p w14:paraId="405B3577" w14:textId="77777777" w:rsidR="0093587C" w:rsidRPr="00C37F1C" w:rsidRDefault="0093587C" w:rsidP="0093587C">
      <w:pPr>
        <w:adjustRightInd w:val="0"/>
        <w:snapToGrid w:val="0"/>
        <w:spacing w:after="0" w:line="240" w:lineRule="auto"/>
        <w:ind w:firstLine="567"/>
        <w:jc w:val="both"/>
        <w:rPr>
          <w:rFonts w:ascii="Times New Roman" w:hAnsi="Times New Roman" w:cs="Times New Roman"/>
          <w:sz w:val="16"/>
          <w:szCs w:val="16"/>
        </w:rPr>
      </w:pPr>
    </w:p>
    <w:tbl>
      <w:tblPr>
        <w:tblW w:w="5000" w:type="pct"/>
        <w:tblBorders>
          <w:top w:val="single" w:sz="18" w:space="0" w:color="007B3A"/>
          <w:left w:val="single" w:sz="18" w:space="0" w:color="007B3A"/>
          <w:bottom w:val="single" w:sz="18" w:space="0" w:color="007B3A"/>
          <w:right w:val="single" w:sz="18" w:space="0" w:color="007B3A"/>
          <w:insideH w:val="single" w:sz="18" w:space="0" w:color="007B3A"/>
          <w:insideV w:val="single" w:sz="18" w:space="0" w:color="007B3A"/>
        </w:tblBorders>
        <w:tblCellMar>
          <w:left w:w="0" w:type="dxa"/>
          <w:right w:w="0" w:type="dxa"/>
        </w:tblCellMar>
        <w:tblLook w:val="01E0" w:firstRow="1" w:lastRow="1" w:firstColumn="1" w:lastColumn="1" w:noHBand="0" w:noVBand="0"/>
      </w:tblPr>
      <w:tblGrid>
        <w:gridCol w:w="2188"/>
        <w:gridCol w:w="4455"/>
      </w:tblGrid>
      <w:tr w:rsidR="00213576" w:rsidRPr="00853A21" w14:paraId="1047B9DB" w14:textId="77777777" w:rsidTr="00853A21">
        <w:trPr>
          <w:trHeight w:val="295"/>
        </w:trPr>
        <w:tc>
          <w:tcPr>
            <w:tcW w:w="1647" w:type="pct"/>
            <w:tcBorders>
              <w:bottom w:val="nil"/>
              <w:right w:val="single" w:sz="4" w:space="0" w:color="000000"/>
            </w:tcBorders>
            <w:shd w:val="clear" w:color="auto" w:fill="007B3A"/>
          </w:tcPr>
          <w:p w14:paraId="56BB64E6" w14:textId="1CC52B15" w:rsidR="00213576" w:rsidRPr="00853A21" w:rsidRDefault="00226FAD" w:rsidP="00226FAD">
            <w:pPr>
              <w:pStyle w:val="TableParagraph"/>
              <w:adjustRightInd w:val="0"/>
              <w:snapToGrid w:val="0"/>
              <w:ind w:left="0" w:firstLine="567"/>
              <w:jc w:val="center"/>
              <w:rPr>
                <w:rFonts w:ascii="Times New Roman" w:hAnsi="Times New Roman" w:cs="Times New Roman"/>
                <w:b/>
                <w:sz w:val="16"/>
                <w:szCs w:val="16"/>
              </w:rPr>
            </w:pPr>
            <w:r w:rsidRPr="00853A21">
              <w:rPr>
                <w:rFonts w:ascii="Times New Roman" w:hAnsi="Times New Roman" w:cs="Times New Roman"/>
                <w:b/>
                <w:color w:val="FFFFFF"/>
                <w:w w:val="110"/>
                <w:sz w:val="16"/>
                <w:szCs w:val="16"/>
              </w:rPr>
              <w:t>Етап</w:t>
            </w:r>
            <w:r w:rsidR="00213576" w:rsidRPr="00853A21">
              <w:rPr>
                <w:rFonts w:ascii="Times New Roman" w:hAnsi="Times New Roman" w:cs="Times New Roman"/>
                <w:b/>
                <w:color w:val="FFFFFF"/>
                <w:spacing w:val="42"/>
                <w:w w:val="110"/>
                <w:sz w:val="16"/>
                <w:szCs w:val="16"/>
              </w:rPr>
              <w:t xml:space="preserve"> </w:t>
            </w:r>
            <w:r w:rsidR="00213576" w:rsidRPr="00853A21">
              <w:rPr>
                <w:rFonts w:ascii="Times New Roman" w:hAnsi="Times New Roman" w:cs="Times New Roman"/>
                <w:b/>
                <w:color w:val="FFFFFF"/>
                <w:spacing w:val="-2"/>
                <w:w w:val="110"/>
                <w:sz w:val="16"/>
                <w:szCs w:val="16"/>
              </w:rPr>
              <w:t>еволюції</w:t>
            </w:r>
          </w:p>
        </w:tc>
        <w:tc>
          <w:tcPr>
            <w:tcW w:w="3353" w:type="pct"/>
            <w:tcBorders>
              <w:left w:val="single" w:sz="4" w:space="0" w:color="000000"/>
              <w:bottom w:val="nil"/>
            </w:tcBorders>
            <w:shd w:val="clear" w:color="auto" w:fill="007B3A"/>
          </w:tcPr>
          <w:p w14:paraId="6E1AAC0F" w14:textId="08905EB9" w:rsidR="00213576" w:rsidRPr="00853A21" w:rsidRDefault="00226FAD" w:rsidP="00226FAD">
            <w:pPr>
              <w:pStyle w:val="TableParagraph"/>
              <w:adjustRightInd w:val="0"/>
              <w:snapToGrid w:val="0"/>
              <w:ind w:left="0" w:firstLine="567"/>
              <w:jc w:val="center"/>
              <w:rPr>
                <w:rFonts w:ascii="Times New Roman" w:hAnsi="Times New Roman" w:cs="Times New Roman"/>
                <w:b/>
                <w:sz w:val="16"/>
                <w:szCs w:val="16"/>
              </w:rPr>
            </w:pPr>
            <w:r w:rsidRPr="00853A21">
              <w:rPr>
                <w:rFonts w:ascii="Times New Roman" w:hAnsi="Times New Roman" w:cs="Times New Roman"/>
                <w:b/>
                <w:color w:val="FFFFFF"/>
                <w:w w:val="115"/>
                <w:sz w:val="16"/>
                <w:szCs w:val="16"/>
              </w:rPr>
              <w:t>Зміст</w:t>
            </w:r>
            <w:r w:rsidR="00213576" w:rsidRPr="00853A21">
              <w:rPr>
                <w:rFonts w:ascii="Times New Roman" w:hAnsi="Times New Roman" w:cs="Times New Roman"/>
                <w:b/>
                <w:color w:val="FFFFFF"/>
                <w:spacing w:val="21"/>
                <w:w w:val="115"/>
                <w:sz w:val="16"/>
                <w:szCs w:val="16"/>
              </w:rPr>
              <w:t xml:space="preserve"> </w:t>
            </w:r>
            <w:r w:rsidR="00213576" w:rsidRPr="00853A21">
              <w:rPr>
                <w:rFonts w:ascii="Times New Roman" w:hAnsi="Times New Roman" w:cs="Times New Roman"/>
                <w:b/>
                <w:color w:val="FFFFFF"/>
                <w:spacing w:val="-2"/>
                <w:w w:val="115"/>
                <w:sz w:val="16"/>
                <w:szCs w:val="16"/>
              </w:rPr>
              <w:t>зрушень</w:t>
            </w:r>
          </w:p>
        </w:tc>
      </w:tr>
      <w:tr w:rsidR="00213576" w:rsidRPr="00853A21" w14:paraId="4D1FFB3A" w14:textId="77777777" w:rsidTr="00853A21">
        <w:trPr>
          <w:trHeight w:val="1796"/>
        </w:trPr>
        <w:tc>
          <w:tcPr>
            <w:tcW w:w="1647" w:type="pct"/>
            <w:tcBorders>
              <w:top w:val="nil"/>
              <w:bottom w:val="single" w:sz="4" w:space="0" w:color="000000"/>
              <w:right w:val="single" w:sz="4" w:space="0" w:color="000000"/>
            </w:tcBorders>
          </w:tcPr>
          <w:p w14:paraId="2AB1CA85" w14:textId="77777777" w:rsidR="00213576" w:rsidRPr="00853A21" w:rsidRDefault="00213576" w:rsidP="00270D43">
            <w:pPr>
              <w:pStyle w:val="TableParagraph"/>
              <w:adjustRightInd w:val="0"/>
              <w:snapToGrid w:val="0"/>
              <w:ind w:left="0"/>
              <w:jc w:val="both"/>
              <w:rPr>
                <w:rFonts w:ascii="Times New Roman" w:hAnsi="Times New Roman" w:cs="Times New Roman"/>
                <w:b/>
                <w:sz w:val="16"/>
                <w:szCs w:val="16"/>
              </w:rPr>
            </w:pPr>
          </w:p>
          <w:p w14:paraId="01B3207E" w14:textId="77777777" w:rsidR="00213576" w:rsidRPr="00853A21" w:rsidRDefault="00213576" w:rsidP="00270D43">
            <w:pPr>
              <w:pStyle w:val="TableParagraph"/>
              <w:adjustRightInd w:val="0"/>
              <w:snapToGrid w:val="0"/>
              <w:ind w:left="0"/>
              <w:jc w:val="both"/>
              <w:rPr>
                <w:rFonts w:ascii="Times New Roman" w:hAnsi="Times New Roman" w:cs="Times New Roman"/>
                <w:b/>
                <w:sz w:val="16"/>
                <w:szCs w:val="16"/>
              </w:rPr>
            </w:pPr>
          </w:p>
          <w:p w14:paraId="4FF242E3" w14:textId="77777777" w:rsidR="00213576" w:rsidRPr="00853A21" w:rsidRDefault="00213576" w:rsidP="00270D43">
            <w:pPr>
              <w:pStyle w:val="TableParagraph"/>
              <w:adjustRightInd w:val="0"/>
              <w:snapToGrid w:val="0"/>
              <w:ind w:left="0"/>
              <w:jc w:val="both"/>
              <w:rPr>
                <w:rFonts w:ascii="Times New Roman" w:hAnsi="Times New Roman" w:cs="Times New Roman"/>
                <w:sz w:val="16"/>
                <w:szCs w:val="16"/>
              </w:rPr>
            </w:pPr>
            <w:r w:rsidRPr="00853A21">
              <w:rPr>
                <w:rFonts w:ascii="Times New Roman" w:hAnsi="Times New Roman" w:cs="Times New Roman"/>
                <w:w w:val="105"/>
                <w:sz w:val="16"/>
                <w:szCs w:val="16"/>
              </w:rPr>
              <w:t>Приватний</w:t>
            </w:r>
            <w:r w:rsidRPr="00853A21">
              <w:rPr>
                <w:rFonts w:ascii="Times New Roman" w:hAnsi="Times New Roman" w:cs="Times New Roman"/>
                <w:spacing w:val="-11"/>
                <w:w w:val="105"/>
                <w:sz w:val="16"/>
                <w:szCs w:val="16"/>
              </w:rPr>
              <w:t xml:space="preserve"> </w:t>
            </w:r>
            <w:r w:rsidRPr="00853A21">
              <w:rPr>
                <w:rFonts w:ascii="Times New Roman" w:hAnsi="Times New Roman" w:cs="Times New Roman"/>
                <w:w w:val="105"/>
                <w:sz w:val="16"/>
                <w:szCs w:val="16"/>
              </w:rPr>
              <w:t>контроль за ресурсами</w:t>
            </w:r>
          </w:p>
        </w:tc>
        <w:tc>
          <w:tcPr>
            <w:tcW w:w="3353" w:type="pct"/>
            <w:tcBorders>
              <w:top w:val="nil"/>
              <w:left w:val="single" w:sz="4" w:space="0" w:color="000000"/>
              <w:bottom w:val="single" w:sz="4" w:space="0" w:color="000000"/>
            </w:tcBorders>
          </w:tcPr>
          <w:p w14:paraId="1BFCD264" w14:textId="0F5C17F4" w:rsidR="00213576" w:rsidRPr="00853A21" w:rsidRDefault="00213576" w:rsidP="00270D43">
            <w:pPr>
              <w:pStyle w:val="TableParagraph"/>
              <w:adjustRightInd w:val="0"/>
              <w:snapToGrid w:val="0"/>
              <w:ind w:left="0"/>
              <w:jc w:val="both"/>
              <w:rPr>
                <w:rFonts w:ascii="Times New Roman" w:hAnsi="Times New Roman" w:cs="Times New Roman"/>
                <w:sz w:val="16"/>
                <w:szCs w:val="16"/>
              </w:rPr>
            </w:pPr>
            <w:r w:rsidRPr="00853A21">
              <w:rPr>
                <w:rFonts w:ascii="Times New Roman" w:hAnsi="Times New Roman" w:cs="Times New Roman"/>
                <w:w w:val="105"/>
                <w:sz w:val="16"/>
                <w:szCs w:val="16"/>
              </w:rPr>
              <w:t>З давніх-давен володіння землею та ресурсами надавалося особистостям, а не народам, перш за все, “за правом меча”.</w:t>
            </w:r>
            <w:r w:rsidRPr="00853A21">
              <w:rPr>
                <w:rFonts w:ascii="Times New Roman" w:hAnsi="Times New Roman" w:cs="Times New Roman"/>
                <w:spacing w:val="80"/>
                <w:w w:val="105"/>
                <w:sz w:val="16"/>
                <w:szCs w:val="16"/>
              </w:rPr>
              <w:t xml:space="preserve"> </w:t>
            </w:r>
            <w:r w:rsidRPr="00853A21">
              <w:rPr>
                <w:rFonts w:ascii="Times New Roman" w:hAnsi="Times New Roman" w:cs="Times New Roman"/>
                <w:w w:val="105"/>
                <w:sz w:val="16"/>
                <w:szCs w:val="16"/>
              </w:rPr>
              <w:t>У середні віки не існувало таких однозначних відносин між владою і територією. Взаємне визнання державами суверенітету одна одної в найважливішому питанні сучасності, релігійному віруванні, означало, що держави готові були позбутися деяких політичних цілей в обмін на придбання внутрішнього контролю та стабільності</w:t>
            </w:r>
          </w:p>
        </w:tc>
      </w:tr>
      <w:tr w:rsidR="00213576" w:rsidRPr="00853A21" w14:paraId="417A104C" w14:textId="77777777" w:rsidTr="00853A21">
        <w:trPr>
          <w:trHeight w:val="1131"/>
        </w:trPr>
        <w:tc>
          <w:tcPr>
            <w:tcW w:w="1647" w:type="pct"/>
            <w:tcBorders>
              <w:top w:val="single" w:sz="4" w:space="0" w:color="000000"/>
              <w:bottom w:val="single" w:sz="4" w:space="0" w:color="000000"/>
              <w:right w:val="single" w:sz="4" w:space="0" w:color="000000"/>
            </w:tcBorders>
          </w:tcPr>
          <w:p w14:paraId="1548A18B" w14:textId="43D87F72" w:rsidR="00213576" w:rsidRPr="00853A21" w:rsidRDefault="00213576" w:rsidP="00270D43">
            <w:pPr>
              <w:pStyle w:val="TableParagraph"/>
              <w:adjustRightInd w:val="0"/>
              <w:snapToGrid w:val="0"/>
              <w:ind w:left="0"/>
              <w:jc w:val="both"/>
              <w:rPr>
                <w:rFonts w:ascii="Times New Roman" w:hAnsi="Times New Roman" w:cs="Times New Roman"/>
                <w:sz w:val="16"/>
                <w:szCs w:val="16"/>
              </w:rPr>
            </w:pPr>
            <w:r w:rsidRPr="00853A21">
              <w:rPr>
                <w:rFonts w:ascii="Times New Roman" w:hAnsi="Times New Roman" w:cs="Times New Roman"/>
                <w:w w:val="105"/>
                <w:sz w:val="16"/>
                <w:szCs w:val="16"/>
              </w:rPr>
              <w:lastRenderedPageBreak/>
              <w:t>Державний</w:t>
            </w:r>
            <w:r w:rsidRPr="00853A21">
              <w:rPr>
                <w:rFonts w:ascii="Times New Roman" w:hAnsi="Times New Roman" w:cs="Times New Roman"/>
                <w:spacing w:val="31"/>
                <w:w w:val="105"/>
                <w:sz w:val="16"/>
                <w:szCs w:val="16"/>
              </w:rPr>
              <w:t xml:space="preserve"> </w:t>
            </w:r>
            <w:r w:rsidRPr="00853A21">
              <w:rPr>
                <w:rFonts w:ascii="Times New Roman" w:hAnsi="Times New Roman" w:cs="Times New Roman"/>
                <w:spacing w:val="-2"/>
                <w:w w:val="105"/>
                <w:sz w:val="16"/>
                <w:szCs w:val="16"/>
              </w:rPr>
              <w:t>контроль</w:t>
            </w:r>
            <w:r w:rsidR="00D27C86" w:rsidRPr="00853A21">
              <w:rPr>
                <w:rFonts w:ascii="Times New Roman" w:hAnsi="Times New Roman" w:cs="Times New Roman"/>
                <w:sz w:val="16"/>
                <w:szCs w:val="16"/>
              </w:rPr>
              <w:t xml:space="preserve"> </w:t>
            </w:r>
            <w:r w:rsidRPr="00853A21">
              <w:rPr>
                <w:rFonts w:ascii="Times New Roman" w:hAnsi="Times New Roman" w:cs="Times New Roman"/>
                <w:w w:val="105"/>
                <w:sz w:val="16"/>
                <w:szCs w:val="16"/>
              </w:rPr>
              <w:t xml:space="preserve">за ресурсами – державний </w:t>
            </w:r>
            <w:r w:rsidRPr="00853A21">
              <w:rPr>
                <w:rFonts w:ascii="Times New Roman" w:hAnsi="Times New Roman" w:cs="Times New Roman"/>
                <w:spacing w:val="-2"/>
                <w:w w:val="105"/>
                <w:sz w:val="16"/>
                <w:szCs w:val="16"/>
              </w:rPr>
              <w:t>суверенітет</w:t>
            </w:r>
          </w:p>
          <w:p w14:paraId="1E6A007A" w14:textId="77777777" w:rsidR="00213576" w:rsidRPr="00853A21" w:rsidRDefault="00213576" w:rsidP="00270D43">
            <w:pPr>
              <w:pStyle w:val="TableParagraph"/>
              <w:adjustRightInd w:val="0"/>
              <w:snapToGrid w:val="0"/>
              <w:ind w:left="0"/>
              <w:jc w:val="both"/>
              <w:rPr>
                <w:rFonts w:ascii="Times New Roman" w:hAnsi="Times New Roman" w:cs="Times New Roman"/>
                <w:sz w:val="16"/>
                <w:szCs w:val="16"/>
              </w:rPr>
            </w:pPr>
            <w:r w:rsidRPr="00853A21">
              <w:rPr>
                <w:rFonts w:ascii="Times New Roman" w:hAnsi="Times New Roman" w:cs="Times New Roman"/>
                <w:w w:val="105"/>
                <w:sz w:val="16"/>
                <w:szCs w:val="16"/>
              </w:rPr>
              <w:t>(1648</w:t>
            </w:r>
            <w:r w:rsidRPr="00853A21">
              <w:rPr>
                <w:rFonts w:ascii="Times New Roman" w:hAnsi="Times New Roman" w:cs="Times New Roman"/>
                <w:spacing w:val="-8"/>
                <w:w w:val="105"/>
                <w:sz w:val="16"/>
                <w:szCs w:val="16"/>
              </w:rPr>
              <w:t xml:space="preserve"> </w:t>
            </w:r>
            <w:r w:rsidRPr="00853A21">
              <w:rPr>
                <w:rFonts w:ascii="Times New Roman" w:hAnsi="Times New Roman" w:cs="Times New Roman"/>
                <w:w w:val="105"/>
                <w:sz w:val="16"/>
                <w:szCs w:val="16"/>
              </w:rPr>
              <w:t>р.,</w:t>
            </w:r>
            <w:r w:rsidRPr="00853A21">
              <w:rPr>
                <w:rFonts w:ascii="Times New Roman" w:hAnsi="Times New Roman" w:cs="Times New Roman"/>
                <w:spacing w:val="-8"/>
                <w:w w:val="105"/>
                <w:sz w:val="16"/>
                <w:szCs w:val="16"/>
              </w:rPr>
              <w:t xml:space="preserve"> </w:t>
            </w:r>
            <w:r w:rsidRPr="00853A21">
              <w:rPr>
                <w:rFonts w:ascii="Times New Roman" w:hAnsi="Times New Roman" w:cs="Times New Roman"/>
                <w:w w:val="105"/>
                <w:sz w:val="16"/>
                <w:szCs w:val="16"/>
              </w:rPr>
              <w:t xml:space="preserve">Вестфальський </w:t>
            </w:r>
            <w:r w:rsidRPr="00853A21">
              <w:rPr>
                <w:rFonts w:ascii="Times New Roman" w:hAnsi="Times New Roman" w:cs="Times New Roman"/>
                <w:spacing w:val="-4"/>
                <w:w w:val="105"/>
                <w:sz w:val="16"/>
                <w:szCs w:val="16"/>
              </w:rPr>
              <w:t>мир)</w:t>
            </w:r>
          </w:p>
        </w:tc>
        <w:tc>
          <w:tcPr>
            <w:tcW w:w="3353" w:type="pct"/>
            <w:tcBorders>
              <w:top w:val="single" w:sz="4" w:space="0" w:color="000000"/>
              <w:left w:val="single" w:sz="4" w:space="0" w:color="000000"/>
              <w:bottom w:val="single" w:sz="4" w:space="0" w:color="000000"/>
            </w:tcBorders>
          </w:tcPr>
          <w:p w14:paraId="370477F0" w14:textId="5B0FB36C" w:rsidR="00213576" w:rsidRPr="00853A21" w:rsidRDefault="00213576" w:rsidP="00270D43">
            <w:pPr>
              <w:pStyle w:val="TableParagraph"/>
              <w:adjustRightInd w:val="0"/>
              <w:snapToGrid w:val="0"/>
              <w:ind w:left="0"/>
              <w:jc w:val="both"/>
              <w:rPr>
                <w:rFonts w:ascii="Times New Roman" w:hAnsi="Times New Roman" w:cs="Times New Roman"/>
                <w:sz w:val="16"/>
                <w:szCs w:val="16"/>
              </w:rPr>
            </w:pPr>
            <w:r w:rsidRPr="00853A21">
              <w:rPr>
                <w:rFonts w:ascii="Times New Roman" w:hAnsi="Times New Roman" w:cs="Times New Roman"/>
                <w:w w:val="105"/>
                <w:sz w:val="16"/>
                <w:szCs w:val="16"/>
              </w:rPr>
              <w:t>Сформульовано</w:t>
            </w:r>
            <w:r w:rsidRPr="00853A21">
              <w:rPr>
                <w:rFonts w:ascii="Times New Roman" w:hAnsi="Times New Roman" w:cs="Times New Roman"/>
                <w:spacing w:val="-4"/>
                <w:w w:val="105"/>
                <w:sz w:val="16"/>
                <w:szCs w:val="16"/>
              </w:rPr>
              <w:t xml:space="preserve"> </w:t>
            </w:r>
            <w:r w:rsidRPr="00853A21">
              <w:rPr>
                <w:rFonts w:ascii="Times New Roman" w:hAnsi="Times New Roman" w:cs="Times New Roman"/>
                <w:w w:val="105"/>
                <w:sz w:val="16"/>
                <w:szCs w:val="16"/>
              </w:rPr>
              <w:t>поняття</w:t>
            </w:r>
            <w:r w:rsidRPr="00853A21">
              <w:rPr>
                <w:rFonts w:ascii="Times New Roman" w:hAnsi="Times New Roman" w:cs="Times New Roman"/>
                <w:spacing w:val="-4"/>
                <w:w w:val="105"/>
                <w:sz w:val="16"/>
                <w:szCs w:val="16"/>
              </w:rPr>
              <w:t xml:space="preserve"> </w:t>
            </w:r>
            <w:r w:rsidRPr="00853A21">
              <w:rPr>
                <w:rFonts w:ascii="Times New Roman" w:hAnsi="Times New Roman" w:cs="Times New Roman"/>
                <w:w w:val="105"/>
                <w:sz w:val="16"/>
                <w:szCs w:val="16"/>
              </w:rPr>
              <w:t>державного</w:t>
            </w:r>
            <w:r w:rsidRPr="00853A21">
              <w:rPr>
                <w:rFonts w:ascii="Times New Roman" w:hAnsi="Times New Roman" w:cs="Times New Roman"/>
                <w:spacing w:val="-4"/>
                <w:w w:val="105"/>
                <w:sz w:val="16"/>
                <w:szCs w:val="16"/>
              </w:rPr>
              <w:t xml:space="preserve"> </w:t>
            </w:r>
            <w:r w:rsidRPr="00853A21">
              <w:rPr>
                <w:rFonts w:ascii="Times New Roman" w:hAnsi="Times New Roman" w:cs="Times New Roman"/>
                <w:w w:val="105"/>
                <w:sz w:val="16"/>
                <w:szCs w:val="16"/>
              </w:rPr>
              <w:t>суверенітету</w:t>
            </w:r>
            <w:r w:rsidRPr="00853A21">
              <w:rPr>
                <w:rFonts w:ascii="Times New Roman" w:hAnsi="Times New Roman" w:cs="Times New Roman"/>
                <w:spacing w:val="-4"/>
                <w:w w:val="105"/>
                <w:sz w:val="16"/>
                <w:szCs w:val="16"/>
              </w:rPr>
              <w:t xml:space="preserve"> </w:t>
            </w:r>
            <w:r w:rsidRPr="00853A21">
              <w:rPr>
                <w:rFonts w:ascii="Times New Roman" w:hAnsi="Times New Roman" w:cs="Times New Roman"/>
                <w:w w:val="105"/>
                <w:sz w:val="16"/>
                <w:szCs w:val="16"/>
              </w:rPr>
              <w:t>як</w:t>
            </w:r>
            <w:r w:rsidRPr="00853A21">
              <w:rPr>
                <w:rFonts w:ascii="Times New Roman" w:hAnsi="Times New Roman" w:cs="Times New Roman"/>
                <w:spacing w:val="-4"/>
                <w:w w:val="105"/>
                <w:sz w:val="16"/>
                <w:szCs w:val="16"/>
              </w:rPr>
              <w:t xml:space="preserve"> </w:t>
            </w:r>
            <w:r w:rsidRPr="00853A21">
              <w:rPr>
                <w:rFonts w:ascii="Times New Roman" w:hAnsi="Times New Roman" w:cs="Times New Roman"/>
                <w:w w:val="105"/>
                <w:sz w:val="16"/>
                <w:szCs w:val="16"/>
              </w:rPr>
              <w:t>цілісної</w:t>
            </w:r>
            <w:r w:rsidRPr="00853A21">
              <w:rPr>
                <w:rFonts w:ascii="Times New Roman" w:hAnsi="Times New Roman" w:cs="Times New Roman"/>
                <w:spacing w:val="-7"/>
                <w:w w:val="105"/>
                <w:sz w:val="16"/>
                <w:szCs w:val="16"/>
              </w:rPr>
              <w:t xml:space="preserve"> </w:t>
            </w:r>
            <w:r w:rsidRPr="00853A21">
              <w:rPr>
                <w:rFonts w:ascii="Times New Roman" w:hAnsi="Times New Roman" w:cs="Times New Roman"/>
                <w:w w:val="105"/>
                <w:sz w:val="16"/>
                <w:szCs w:val="16"/>
              </w:rPr>
              <w:t>системи</w:t>
            </w:r>
            <w:r w:rsidRPr="00853A21">
              <w:rPr>
                <w:rFonts w:ascii="Times New Roman" w:hAnsi="Times New Roman" w:cs="Times New Roman"/>
                <w:spacing w:val="-7"/>
                <w:w w:val="105"/>
                <w:sz w:val="16"/>
                <w:szCs w:val="16"/>
              </w:rPr>
              <w:t xml:space="preserve"> </w:t>
            </w:r>
            <w:r w:rsidRPr="00853A21">
              <w:rPr>
                <w:rFonts w:ascii="Times New Roman" w:hAnsi="Times New Roman" w:cs="Times New Roman"/>
                <w:w w:val="105"/>
                <w:sz w:val="16"/>
                <w:szCs w:val="16"/>
              </w:rPr>
              <w:t>контролю</w:t>
            </w:r>
            <w:r w:rsidRPr="00853A21">
              <w:rPr>
                <w:rFonts w:ascii="Times New Roman" w:hAnsi="Times New Roman" w:cs="Times New Roman"/>
                <w:spacing w:val="-7"/>
                <w:w w:val="105"/>
                <w:sz w:val="16"/>
                <w:szCs w:val="16"/>
              </w:rPr>
              <w:t xml:space="preserve"> </w:t>
            </w:r>
            <w:r w:rsidRPr="00853A21">
              <w:rPr>
                <w:rFonts w:ascii="Times New Roman" w:hAnsi="Times New Roman" w:cs="Times New Roman"/>
                <w:w w:val="105"/>
                <w:sz w:val="16"/>
                <w:szCs w:val="16"/>
              </w:rPr>
              <w:t>державою</w:t>
            </w:r>
            <w:r w:rsidRPr="00853A21">
              <w:rPr>
                <w:rFonts w:ascii="Times New Roman" w:hAnsi="Times New Roman" w:cs="Times New Roman"/>
                <w:spacing w:val="-7"/>
                <w:w w:val="105"/>
                <w:sz w:val="16"/>
                <w:szCs w:val="16"/>
              </w:rPr>
              <w:t xml:space="preserve"> </w:t>
            </w:r>
            <w:r w:rsidRPr="00853A21">
              <w:rPr>
                <w:rFonts w:ascii="Times New Roman" w:hAnsi="Times New Roman" w:cs="Times New Roman"/>
                <w:w w:val="105"/>
                <w:sz w:val="16"/>
                <w:szCs w:val="16"/>
              </w:rPr>
              <w:t>території</w:t>
            </w:r>
            <w:r w:rsidRPr="00853A21">
              <w:rPr>
                <w:rFonts w:ascii="Times New Roman" w:hAnsi="Times New Roman" w:cs="Times New Roman"/>
                <w:spacing w:val="-7"/>
                <w:w w:val="105"/>
                <w:sz w:val="16"/>
                <w:szCs w:val="16"/>
              </w:rPr>
              <w:t xml:space="preserve"> </w:t>
            </w:r>
            <w:r w:rsidRPr="00853A21">
              <w:rPr>
                <w:rFonts w:ascii="Times New Roman" w:hAnsi="Times New Roman" w:cs="Times New Roman"/>
                <w:w w:val="105"/>
                <w:sz w:val="16"/>
                <w:szCs w:val="16"/>
              </w:rPr>
              <w:t>з</w:t>
            </w:r>
            <w:r w:rsidRPr="00853A21">
              <w:rPr>
                <w:rFonts w:ascii="Times New Roman" w:hAnsi="Times New Roman" w:cs="Times New Roman"/>
                <w:spacing w:val="-7"/>
                <w:w w:val="105"/>
                <w:sz w:val="16"/>
                <w:szCs w:val="16"/>
              </w:rPr>
              <w:t xml:space="preserve"> </w:t>
            </w:r>
            <w:r w:rsidRPr="00853A21">
              <w:rPr>
                <w:rFonts w:ascii="Times New Roman" w:hAnsi="Times New Roman" w:cs="Times New Roman"/>
                <w:w w:val="105"/>
                <w:sz w:val="16"/>
                <w:szCs w:val="16"/>
              </w:rPr>
              <w:t>населенням</w:t>
            </w:r>
            <w:r w:rsidRPr="00853A21">
              <w:rPr>
                <w:rFonts w:ascii="Times New Roman" w:hAnsi="Times New Roman" w:cs="Times New Roman"/>
                <w:spacing w:val="-7"/>
                <w:w w:val="105"/>
                <w:sz w:val="16"/>
                <w:szCs w:val="16"/>
              </w:rPr>
              <w:t xml:space="preserve"> </w:t>
            </w:r>
            <w:r w:rsidRPr="00853A21">
              <w:rPr>
                <w:rFonts w:ascii="Times New Roman" w:hAnsi="Times New Roman" w:cs="Times New Roman"/>
                <w:w w:val="105"/>
                <w:sz w:val="16"/>
                <w:szCs w:val="16"/>
              </w:rPr>
              <w:t>та природними ресурсами</w:t>
            </w:r>
          </w:p>
        </w:tc>
      </w:tr>
      <w:tr w:rsidR="00213576" w:rsidRPr="00853A21" w14:paraId="266FA8DA" w14:textId="77777777" w:rsidTr="00853A21">
        <w:trPr>
          <w:trHeight w:val="2011"/>
        </w:trPr>
        <w:tc>
          <w:tcPr>
            <w:tcW w:w="1647" w:type="pct"/>
            <w:tcBorders>
              <w:top w:val="single" w:sz="4" w:space="0" w:color="000000"/>
              <w:bottom w:val="single" w:sz="4" w:space="0" w:color="000000"/>
              <w:right w:val="single" w:sz="4" w:space="0" w:color="000000"/>
            </w:tcBorders>
          </w:tcPr>
          <w:p w14:paraId="036FBD24" w14:textId="77777777" w:rsidR="00213576" w:rsidRPr="00853A21" w:rsidRDefault="00213576" w:rsidP="00270D43">
            <w:pPr>
              <w:pStyle w:val="TableParagraph"/>
              <w:adjustRightInd w:val="0"/>
              <w:snapToGrid w:val="0"/>
              <w:ind w:left="0"/>
              <w:jc w:val="both"/>
              <w:rPr>
                <w:rFonts w:ascii="Times New Roman" w:hAnsi="Times New Roman" w:cs="Times New Roman"/>
                <w:sz w:val="16"/>
                <w:szCs w:val="16"/>
              </w:rPr>
            </w:pPr>
            <w:r w:rsidRPr="00853A21">
              <w:rPr>
                <w:rFonts w:ascii="Times New Roman" w:hAnsi="Times New Roman" w:cs="Times New Roman"/>
                <w:w w:val="105"/>
                <w:sz w:val="16"/>
                <w:szCs w:val="16"/>
              </w:rPr>
              <w:t>Національний</w:t>
            </w:r>
            <w:r w:rsidRPr="00853A21">
              <w:rPr>
                <w:rFonts w:ascii="Times New Roman" w:hAnsi="Times New Roman" w:cs="Times New Roman"/>
                <w:spacing w:val="-11"/>
                <w:w w:val="105"/>
                <w:sz w:val="16"/>
                <w:szCs w:val="16"/>
              </w:rPr>
              <w:t xml:space="preserve"> </w:t>
            </w:r>
            <w:r w:rsidRPr="00853A21">
              <w:rPr>
                <w:rFonts w:ascii="Times New Roman" w:hAnsi="Times New Roman" w:cs="Times New Roman"/>
                <w:w w:val="105"/>
                <w:sz w:val="16"/>
                <w:szCs w:val="16"/>
              </w:rPr>
              <w:t>контроль за ресурсами</w:t>
            </w:r>
          </w:p>
          <w:p w14:paraId="70B7CB4B" w14:textId="77777777" w:rsidR="00213576" w:rsidRPr="00853A21" w:rsidRDefault="00213576" w:rsidP="00270D43">
            <w:pPr>
              <w:pStyle w:val="TableParagraph"/>
              <w:adjustRightInd w:val="0"/>
              <w:snapToGrid w:val="0"/>
              <w:ind w:left="0"/>
              <w:jc w:val="both"/>
              <w:rPr>
                <w:rFonts w:ascii="Times New Roman" w:hAnsi="Times New Roman" w:cs="Times New Roman"/>
                <w:sz w:val="16"/>
                <w:szCs w:val="16"/>
              </w:rPr>
            </w:pPr>
            <w:r w:rsidRPr="00853A21">
              <w:rPr>
                <w:rFonts w:ascii="Times New Roman" w:hAnsi="Times New Roman" w:cs="Times New Roman"/>
                <w:w w:val="105"/>
                <w:sz w:val="16"/>
                <w:szCs w:val="16"/>
              </w:rPr>
              <w:t>Резолюція 1803 (XVII) Генеральної Асамблеї ООН (14 грудня 1962 року)</w:t>
            </w:r>
          </w:p>
        </w:tc>
        <w:tc>
          <w:tcPr>
            <w:tcW w:w="3353" w:type="pct"/>
            <w:tcBorders>
              <w:top w:val="single" w:sz="4" w:space="0" w:color="000000"/>
              <w:left w:val="single" w:sz="4" w:space="0" w:color="000000"/>
              <w:bottom w:val="single" w:sz="4" w:space="0" w:color="000000"/>
            </w:tcBorders>
          </w:tcPr>
          <w:p w14:paraId="55FEFC70" w14:textId="77777777" w:rsidR="00213576" w:rsidRPr="00853A21" w:rsidRDefault="00213576" w:rsidP="00270D43">
            <w:pPr>
              <w:pStyle w:val="TableParagraph"/>
              <w:adjustRightInd w:val="0"/>
              <w:snapToGrid w:val="0"/>
              <w:ind w:left="0"/>
              <w:jc w:val="both"/>
              <w:rPr>
                <w:rFonts w:ascii="Times New Roman" w:hAnsi="Times New Roman" w:cs="Times New Roman"/>
                <w:sz w:val="16"/>
                <w:szCs w:val="16"/>
              </w:rPr>
            </w:pPr>
            <w:r w:rsidRPr="00853A21">
              <w:rPr>
                <w:rFonts w:ascii="Times New Roman" w:hAnsi="Times New Roman" w:cs="Times New Roman"/>
                <w:w w:val="105"/>
                <w:sz w:val="16"/>
                <w:szCs w:val="16"/>
              </w:rPr>
              <w:t>Право народів і націй на невід'ємний суверенітет над їх природними багатствами й ресурсами має здійснюватися в інтересах</w:t>
            </w:r>
            <w:r w:rsidRPr="00853A21">
              <w:rPr>
                <w:rFonts w:ascii="Times New Roman" w:hAnsi="Times New Roman" w:cs="Times New Roman"/>
                <w:spacing w:val="-7"/>
                <w:w w:val="105"/>
                <w:sz w:val="16"/>
                <w:szCs w:val="16"/>
              </w:rPr>
              <w:t xml:space="preserve"> </w:t>
            </w:r>
            <w:r w:rsidRPr="00853A21">
              <w:rPr>
                <w:rFonts w:ascii="Times New Roman" w:hAnsi="Times New Roman" w:cs="Times New Roman"/>
                <w:w w:val="105"/>
                <w:sz w:val="16"/>
                <w:szCs w:val="16"/>
              </w:rPr>
              <w:t>їх</w:t>
            </w:r>
            <w:r w:rsidRPr="00853A21">
              <w:rPr>
                <w:rFonts w:ascii="Times New Roman" w:hAnsi="Times New Roman" w:cs="Times New Roman"/>
                <w:spacing w:val="-7"/>
                <w:w w:val="105"/>
                <w:sz w:val="16"/>
                <w:szCs w:val="16"/>
              </w:rPr>
              <w:t xml:space="preserve"> </w:t>
            </w:r>
            <w:r w:rsidRPr="00853A21">
              <w:rPr>
                <w:rFonts w:ascii="Times New Roman" w:hAnsi="Times New Roman" w:cs="Times New Roman"/>
                <w:w w:val="105"/>
                <w:sz w:val="16"/>
                <w:szCs w:val="16"/>
              </w:rPr>
              <w:t>національного</w:t>
            </w:r>
            <w:r w:rsidRPr="00853A21">
              <w:rPr>
                <w:rFonts w:ascii="Times New Roman" w:hAnsi="Times New Roman" w:cs="Times New Roman"/>
                <w:spacing w:val="-7"/>
                <w:w w:val="105"/>
                <w:sz w:val="16"/>
                <w:szCs w:val="16"/>
              </w:rPr>
              <w:t xml:space="preserve"> </w:t>
            </w:r>
            <w:r w:rsidRPr="00853A21">
              <w:rPr>
                <w:rFonts w:ascii="Times New Roman" w:hAnsi="Times New Roman" w:cs="Times New Roman"/>
                <w:w w:val="105"/>
                <w:sz w:val="16"/>
                <w:szCs w:val="16"/>
              </w:rPr>
              <w:t>розвитку</w:t>
            </w:r>
            <w:r w:rsidRPr="00853A21">
              <w:rPr>
                <w:rFonts w:ascii="Times New Roman" w:hAnsi="Times New Roman" w:cs="Times New Roman"/>
                <w:spacing w:val="-7"/>
                <w:w w:val="105"/>
                <w:sz w:val="16"/>
                <w:szCs w:val="16"/>
              </w:rPr>
              <w:t xml:space="preserve"> </w:t>
            </w:r>
            <w:r w:rsidRPr="00853A21">
              <w:rPr>
                <w:rFonts w:ascii="Times New Roman" w:hAnsi="Times New Roman" w:cs="Times New Roman"/>
                <w:w w:val="105"/>
                <w:sz w:val="16"/>
                <w:szCs w:val="16"/>
              </w:rPr>
              <w:t>та</w:t>
            </w:r>
            <w:r w:rsidRPr="00853A21">
              <w:rPr>
                <w:rFonts w:ascii="Times New Roman" w:hAnsi="Times New Roman" w:cs="Times New Roman"/>
                <w:spacing w:val="-7"/>
                <w:w w:val="105"/>
                <w:sz w:val="16"/>
                <w:szCs w:val="16"/>
              </w:rPr>
              <w:t xml:space="preserve"> </w:t>
            </w:r>
            <w:r w:rsidRPr="00853A21">
              <w:rPr>
                <w:rFonts w:ascii="Times New Roman" w:hAnsi="Times New Roman" w:cs="Times New Roman"/>
                <w:w w:val="105"/>
                <w:sz w:val="16"/>
                <w:szCs w:val="16"/>
              </w:rPr>
              <w:t>добробуту</w:t>
            </w:r>
            <w:r w:rsidRPr="00853A21">
              <w:rPr>
                <w:rFonts w:ascii="Times New Roman" w:hAnsi="Times New Roman" w:cs="Times New Roman"/>
                <w:spacing w:val="-7"/>
                <w:w w:val="105"/>
                <w:sz w:val="16"/>
                <w:szCs w:val="16"/>
              </w:rPr>
              <w:t xml:space="preserve"> </w:t>
            </w:r>
            <w:r w:rsidRPr="00853A21">
              <w:rPr>
                <w:rFonts w:ascii="Times New Roman" w:hAnsi="Times New Roman" w:cs="Times New Roman"/>
                <w:w w:val="105"/>
                <w:sz w:val="16"/>
                <w:szCs w:val="16"/>
              </w:rPr>
              <w:t>населення відповідних держав.</w:t>
            </w:r>
          </w:p>
          <w:p w14:paraId="32273D83" w14:textId="677DB9CC" w:rsidR="00213576" w:rsidRPr="00853A21" w:rsidRDefault="00213576" w:rsidP="00270D43">
            <w:pPr>
              <w:pStyle w:val="TableParagraph"/>
              <w:adjustRightInd w:val="0"/>
              <w:snapToGrid w:val="0"/>
              <w:ind w:left="0"/>
              <w:jc w:val="both"/>
              <w:rPr>
                <w:rFonts w:ascii="Times New Roman" w:hAnsi="Times New Roman" w:cs="Times New Roman"/>
                <w:sz w:val="16"/>
                <w:szCs w:val="16"/>
              </w:rPr>
            </w:pPr>
            <w:r w:rsidRPr="00853A21">
              <w:rPr>
                <w:rFonts w:ascii="Times New Roman" w:hAnsi="Times New Roman" w:cs="Times New Roman"/>
                <w:w w:val="105"/>
                <w:sz w:val="16"/>
                <w:szCs w:val="16"/>
              </w:rPr>
              <w:t>Порушення права народів і націй на суверенітет над їх природними багатствами й ресурсами суперечить духу і принципам Статуту Організації Об'єднаних Націй і перешкоджає</w:t>
            </w:r>
            <w:r w:rsidRPr="00853A21">
              <w:rPr>
                <w:rFonts w:ascii="Times New Roman" w:hAnsi="Times New Roman" w:cs="Times New Roman"/>
                <w:spacing w:val="-11"/>
                <w:w w:val="105"/>
                <w:sz w:val="16"/>
                <w:szCs w:val="16"/>
              </w:rPr>
              <w:t xml:space="preserve"> </w:t>
            </w:r>
            <w:r w:rsidRPr="00853A21">
              <w:rPr>
                <w:rFonts w:ascii="Times New Roman" w:hAnsi="Times New Roman" w:cs="Times New Roman"/>
                <w:w w:val="105"/>
                <w:sz w:val="16"/>
                <w:szCs w:val="16"/>
              </w:rPr>
              <w:t>розвитку</w:t>
            </w:r>
            <w:r w:rsidRPr="00853A21">
              <w:rPr>
                <w:rFonts w:ascii="Times New Roman" w:hAnsi="Times New Roman" w:cs="Times New Roman"/>
                <w:spacing w:val="-10"/>
                <w:w w:val="105"/>
                <w:sz w:val="16"/>
                <w:szCs w:val="16"/>
              </w:rPr>
              <w:t xml:space="preserve"> </w:t>
            </w:r>
            <w:r w:rsidRPr="00853A21">
              <w:rPr>
                <w:rFonts w:ascii="Times New Roman" w:hAnsi="Times New Roman" w:cs="Times New Roman"/>
                <w:w w:val="105"/>
                <w:sz w:val="16"/>
                <w:szCs w:val="16"/>
              </w:rPr>
              <w:t>міжнародного</w:t>
            </w:r>
            <w:r w:rsidRPr="00853A21">
              <w:rPr>
                <w:rFonts w:ascii="Times New Roman" w:hAnsi="Times New Roman" w:cs="Times New Roman"/>
                <w:spacing w:val="-11"/>
                <w:w w:val="105"/>
                <w:sz w:val="16"/>
                <w:szCs w:val="16"/>
              </w:rPr>
              <w:t xml:space="preserve"> </w:t>
            </w:r>
            <w:r w:rsidRPr="00853A21">
              <w:rPr>
                <w:rFonts w:ascii="Times New Roman" w:hAnsi="Times New Roman" w:cs="Times New Roman"/>
                <w:w w:val="105"/>
                <w:sz w:val="16"/>
                <w:szCs w:val="16"/>
              </w:rPr>
              <w:t>співробітництва</w:t>
            </w:r>
            <w:r w:rsidRPr="00853A21">
              <w:rPr>
                <w:rFonts w:ascii="Times New Roman" w:hAnsi="Times New Roman" w:cs="Times New Roman"/>
                <w:spacing w:val="-10"/>
                <w:w w:val="105"/>
                <w:sz w:val="16"/>
                <w:szCs w:val="16"/>
              </w:rPr>
              <w:t xml:space="preserve"> </w:t>
            </w:r>
            <w:r w:rsidRPr="00853A21">
              <w:rPr>
                <w:rFonts w:ascii="Times New Roman" w:hAnsi="Times New Roman" w:cs="Times New Roman"/>
                <w:w w:val="105"/>
                <w:sz w:val="16"/>
                <w:szCs w:val="16"/>
              </w:rPr>
              <w:t>та</w:t>
            </w:r>
            <w:r w:rsidRPr="00853A21">
              <w:rPr>
                <w:rFonts w:ascii="Times New Roman" w:hAnsi="Times New Roman" w:cs="Times New Roman"/>
                <w:spacing w:val="-11"/>
                <w:w w:val="105"/>
                <w:sz w:val="16"/>
                <w:szCs w:val="16"/>
              </w:rPr>
              <w:t xml:space="preserve"> </w:t>
            </w:r>
            <w:r w:rsidRPr="00853A21">
              <w:rPr>
                <w:rFonts w:ascii="Times New Roman" w:hAnsi="Times New Roman" w:cs="Times New Roman"/>
                <w:w w:val="105"/>
                <w:sz w:val="16"/>
                <w:szCs w:val="16"/>
              </w:rPr>
              <w:t>підтримання миру</w:t>
            </w:r>
          </w:p>
        </w:tc>
      </w:tr>
      <w:tr w:rsidR="00213576" w:rsidRPr="00853A21" w14:paraId="57A32210" w14:textId="77777777" w:rsidTr="00853A21">
        <w:trPr>
          <w:trHeight w:val="3533"/>
        </w:trPr>
        <w:tc>
          <w:tcPr>
            <w:tcW w:w="1647" w:type="pct"/>
            <w:tcBorders>
              <w:top w:val="single" w:sz="4" w:space="0" w:color="000000"/>
              <w:right w:val="single" w:sz="4" w:space="0" w:color="000000"/>
            </w:tcBorders>
          </w:tcPr>
          <w:p w14:paraId="24AD7A01" w14:textId="77777777" w:rsidR="00213576" w:rsidRPr="00853A21" w:rsidRDefault="00213576" w:rsidP="00270D43">
            <w:pPr>
              <w:pStyle w:val="TableParagraph"/>
              <w:adjustRightInd w:val="0"/>
              <w:snapToGrid w:val="0"/>
              <w:ind w:left="0"/>
              <w:jc w:val="both"/>
              <w:rPr>
                <w:rFonts w:ascii="Times New Roman" w:hAnsi="Times New Roman" w:cs="Times New Roman"/>
                <w:b/>
                <w:sz w:val="16"/>
                <w:szCs w:val="16"/>
              </w:rPr>
            </w:pPr>
          </w:p>
          <w:p w14:paraId="2E2E44CB" w14:textId="77777777" w:rsidR="00213576" w:rsidRPr="00853A21" w:rsidRDefault="00213576" w:rsidP="00270D43">
            <w:pPr>
              <w:pStyle w:val="TableParagraph"/>
              <w:adjustRightInd w:val="0"/>
              <w:snapToGrid w:val="0"/>
              <w:ind w:left="0"/>
              <w:jc w:val="both"/>
              <w:rPr>
                <w:rFonts w:ascii="Times New Roman" w:hAnsi="Times New Roman" w:cs="Times New Roman"/>
                <w:b/>
                <w:sz w:val="16"/>
                <w:szCs w:val="16"/>
              </w:rPr>
            </w:pPr>
          </w:p>
          <w:p w14:paraId="4011DDB6" w14:textId="77777777" w:rsidR="00213576" w:rsidRPr="00853A21" w:rsidRDefault="00213576" w:rsidP="00270D43">
            <w:pPr>
              <w:pStyle w:val="TableParagraph"/>
              <w:adjustRightInd w:val="0"/>
              <w:snapToGrid w:val="0"/>
              <w:ind w:left="0"/>
              <w:jc w:val="both"/>
              <w:rPr>
                <w:rFonts w:ascii="Times New Roman" w:hAnsi="Times New Roman" w:cs="Times New Roman"/>
                <w:b/>
                <w:sz w:val="16"/>
                <w:szCs w:val="16"/>
              </w:rPr>
            </w:pPr>
          </w:p>
          <w:p w14:paraId="08737147" w14:textId="77777777" w:rsidR="00213576" w:rsidRPr="00853A21" w:rsidRDefault="00213576" w:rsidP="00270D43">
            <w:pPr>
              <w:pStyle w:val="TableParagraph"/>
              <w:adjustRightInd w:val="0"/>
              <w:snapToGrid w:val="0"/>
              <w:ind w:left="0"/>
              <w:jc w:val="both"/>
              <w:rPr>
                <w:rFonts w:ascii="Times New Roman" w:hAnsi="Times New Roman" w:cs="Times New Roman"/>
                <w:b/>
                <w:sz w:val="16"/>
                <w:szCs w:val="16"/>
              </w:rPr>
            </w:pPr>
          </w:p>
          <w:p w14:paraId="4FCD6252" w14:textId="77777777" w:rsidR="00213576" w:rsidRPr="00853A21" w:rsidRDefault="00213576" w:rsidP="00270D43">
            <w:pPr>
              <w:pStyle w:val="TableParagraph"/>
              <w:adjustRightInd w:val="0"/>
              <w:snapToGrid w:val="0"/>
              <w:ind w:left="0"/>
              <w:jc w:val="both"/>
              <w:rPr>
                <w:rFonts w:ascii="Times New Roman" w:hAnsi="Times New Roman" w:cs="Times New Roman"/>
                <w:b/>
                <w:sz w:val="16"/>
                <w:szCs w:val="16"/>
              </w:rPr>
            </w:pPr>
          </w:p>
          <w:p w14:paraId="1541C01B" w14:textId="77777777" w:rsidR="00213576" w:rsidRPr="00853A21" w:rsidRDefault="00213576" w:rsidP="00270D43">
            <w:pPr>
              <w:pStyle w:val="TableParagraph"/>
              <w:adjustRightInd w:val="0"/>
              <w:snapToGrid w:val="0"/>
              <w:ind w:left="0"/>
              <w:jc w:val="both"/>
              <w:rPr>
                <w:rFonts w:ascii="Times New Roman" w:hAnsi="Times New Roman" w:cs="Times New Roman"/>
                <w:b/>
                <w:sz w:val="16"/>
                <w:szCs w:val="16"/>
              </w:rPr>
            </w:pPr>
          </w:p>
          <w:p w14:paraId="167376E5" w14:textId="77777777" w:rsidR="00213576" w:rsidRPr="00853A21" w:rsidRDefault="00213576" w:rsidP="00270D43">
            <w:pPr>
              <w:pStyle w:val="TableParagraph"/>
              <w:adjustRightInd w:val="0"/>
              <w:snapToGrid w:val="0"/>
              <w:ind w:left="0"/>
              <w:jc w:val="both"/>
              <w:rPr>
                <w:rFonts w:ascii="Times New Roman" w:hAnsi="Times New Roman" w:cs="Times New Roman"/>
                <w:sz w:val="16"/>
                <w:szCs w:val="16"/>
              </w:rPr>
            </w:pPr>
            <w:r w:rsidRPr="00853A21">
              <w:rPr>
                <w:rFonts w:ascii="Times New Roman" w:hAnsi="Times New Roman" w:cs="Times New Roman"/>
                <w:w w:val="105"/>
                <w:sz w:val="16"/>
                <w:szCs w:val="16"/>
              </w:rPr>
              <w:t>Міжнародний</w:t>
            </w:r>
            <w:r w:rsidRPr="00853A21">
              <w:rPr>
                <w:rFonts w:ascii="Times New Roman" w:hAnsi="Times New Roman" w:cs="Times New Roman"/>
                <w:spacing w:val="-11"/>
                <w:w w:val="105"/>
                <w:sz w:val="16"/>
                <w:szCs w:val="16"/>
              </w:rPr>
              <w:t xml:space="preserve"> </w:t>
            </w:r>
            <w:r w:rsidRPr="00853A21">
              <w:rPr>
                <w:rFonts w:ascii="Times New Roman" w:hAnsi="Times New Roman" w:cs="Times New Roman"/>
                <w:w w:val="105"/>
                <w:sz w:val="16"/>
                <w:szCs w:val="16"/>
              </w:rPr>
              <w:t>контроль за ресурсами</w:t>
            </w:r>
          </w:p>
          <w:p w14:paraId="66A4F3AD" w14:textId="77777777" w:rsidR="00213576" w:rsidRPr="00853A21" w:rsidRDefault="00213576" w:rsidP="00270D43">
            <w:pPr>
              <w:pStyle w:val="TableParagraph"/>
              <w:adjustRightInd w:val="0"/>
              <w:snapToGrid w:val="0"/>
              <w:ind w:left="0"/>
              <w:jc w:val="both"/>
              <w:rPr>
                <w:rFonts w:ascii="Times New Roman" w:hAnsi="Times New Roman" w:cs="Times New Roman"/>
                <w:sz w:val="16"/>
                <w:szCs w:val="16"/>
              </w:rPr>
            </w:pPr>
            <w:r w:rsidRPr="00853A21">
              <w:rPr>
                <w:rFonts w:ascii="Times New Roman" w:hAnsi="Times New Roman" w:cs="Times New Roman"/>
                <w:w w:val="105"/>
                <w:sz w:val="16"/>
                <w:szCs w:val="16"/>
              </w:rPr>
              <w:t>З</w:t>
            </w:r>
            <w:r w:rsidRPr="00853A21">
              <w:rPr>
                <w:rFonts w:ascii="Times New Roman" w:hAnsi="Times New Roman" w:cs="Times New Roman"/>
                <w:spacing w:val="6"/>
                <w:w w:val="105"/>
                <w:sz w:val="16"/>
                <w:szCs w:val="16"/>
              </w:rPr>
              <w:t xml:space="preserve"> </w:t>
            </w:r>
            <w:r w:rsidRPr="00853A21">
              <w:rPr>
                <w:rFonts w:ascii="Times New Roman" w:hAnsi="Times New Roman" w:cs="Times New Roman"/>
                <w:w w:val="105"/>
                <w:sz w:val="16"/>
                <w:szCs w:val="16"/>
              </w:rPr>
              <w:t>2011</w:t>
            </w:r>
            <w:r w:rsidRPr="00853A21">
              <w:rPr>
                <w:rFonts w:ascii="Times New Roman" w:hAnsi="Times New Roman" w:cs="Times New Roman"/>
                <w:spacing w:val="6"/>
                <w:w w:val="105"/>
                <w:sz w:val="16"/>
                <w:szCs w:val="16"/>
              </w:rPr>
              <w:t xml:space="preserve"> </w:t>
            </w:r>
            <w:r w:rsidRPr="00853A21">
              <w:rPr>
                <w:rFonts w:ascii="Times New Roman" w:hAnsi="Times New Roman" w:cs="Times New Roman"/>
                <w:w w:val="105"/>
                <w:sz w:val="16"/>
                <w:szCs w:val="16"/>
              </w:rPr>
              <w:t>р.</w:t>
            </w:r>
            <w:r w:rsidRPr="00853A21">
              <w:rPr>
                <w:rFonts w:ascii="Times New Roman" w:hAnsi="Times New Roman" w:cs="Times New Roman"/>
                <w:spacing w:val="7"/>
                <w:w w:val="105"/>
                <w:sz w:val="16"/>
                <w:szCs w:val="16"/>
              </w:rPr>
              <w:t xml:space="preserve"> </w:t>
            </w:r>
            <w:r w:rsidRPr="00853A21">
              <w:rPr>
                <w:rFonts w:ascii="Times New Roman" w:hAnsi="Times New Roman" w:cs="Times New Roman"/>
                <w:w w:val="105"/>
                <w:sz w:val="16"/>
                <w:szCs w:val="16"/>
              </w:rPr>
              <w:t>(«Лівійська</w:t>
            </w:r>
            <w:r w:rsidRPr="00853A21">
              <w:rPr>
                <w:rFonts w:ascii="Times New Roman" w:hAnsi="Times New Roman" w:cs="Times New Roman"/>
                <w:spacing w:val="6"/>
                <w:w w:val="105"/>
                <w:sz w:val="16"/>
                <w:szCs w:val="16"/>
              </w:rPr>
              <w:t xml:space="preserve"> </w:t>
            </w:r>
            <w:r w:rsidRPr="00853A21">
              <w:rPr>
                <w:rFonts w:ascii="Times New Roman" w:hAnsi="Times New Roman" w:cs="Times New Roman"/>
                <w:spacing w:val="-2"/>
                <w:w w:val="105"/>
                <w:sz w:val="16"/>
                <w:szCs w:val="16"/>
              </w:rPr>
              <w:t>війна»)</w:t>
            </w:r>
          </w:p>
        </w:tc>
        <w:tc>
          <w:tcPr>
            <w:tcW w:w="3353" w:type="pct"/>
            <w:tcBorders>
              <w:top w:val="single" w:sz="4" w:space="0" w:color="000000"/>
              <w:left w:val="single" w:sz="4" w:space="0" w:color="000000"/>
            </w:tcBorders>
          </w:tcPr>
          <w:p w14:paraId="61250E6F" w14:textId="081E4531" w:rsidR="00213576" w:rsidRPr="00853A21" w:rsidRDefault="00213576" w:rsidP="00270D43">
            <w:pPr>
              <w:pStyle w:val="TableParagraph"/>
              <w:adjustRightInd w:val="0"/>
              <w:snapToGrid w:val="0"/>
              <w:ind w:left="0"/>
              <w:jc w:val="both"/>
              <w:rPr>
                <w:rFonts w:ascii="Times New Roman" w:hAnsi="Times New Roman" w:cs="Times New Roman"/>
                <w:sz w:val="16"/>
                <w:szCs w:val="16"/>
              </w:rPr>
            </w:pPr>
            <w:r w:rsidRPr="00853A21">
              <w:rPr>
                <w:rFonts w:ascii="Times New Roman" w:hAnsi="Times New Roman" w:cs="Times New Roman"/>
                <w:w w:val="105"/>
                <w:sz w:val="16"/>
                <w:szCs w:val="16"/>
              </w:rPr>
              <w:t>На</w:t>
            </w:r>
            <w:r w:rsidRPr="00853A21">
              <w:rPr>
                <w:rFonts w:ascii="Times New Roman" w:hAnsi="Times New Roman" w:cs="Times New Roman"/>
                <w:spacing w:val="40"/>
                <w:w w:val="105"/>
                <w:sz w:val="16"/>
                <w:szCs w:val="16"/>
              </w:rPr>
              <w:t xml:space="preserve"> </w:t>
            </w:r>
            <w:r w:rsidRPr="00853A21">
              <w:rPr>
                <w:rFonts w:ascii="Times New Roman" w:hAnsi="Times New Roman" w:cs="Times New Roman"/>
                <w:w w:val="105"/>
                <w:sz w:val="16"/>
                <w:szCs w:val="16"/>
              </w:rPr>
              <w:t>думку</w:t>
            </w:r>
            <w:r w:rsidRPr="00853A21">
              <w:rPr>
                <w:rFonts w:ascii="Times New Roman" w:hAnsi="Times New Roman" w:cs="Times New Roman"/>
                <w:spacing w:val="40"/>
                <w:w w:val="105"/>
                <w:sz w:val="16"/>
                <w:szCs w:val="16"/>
              </w:rPr>
              <w:t xml:space="preserve"> </w:t>
            </w:r>
            <w:r w:rsidRPr="00853A21">
              <w:rPr>
                <w:rFonts w:ascii="Times New Roman" w:hAnsi="Times New Roman" w:cs="Times New Roman"/>
                <w:w w:val="105"/>
                <w:sz w:val="16"/>
                <w:szCs w:val="16"/>
              </w:rPr>
              <w:t>філософа</w:t>
            </w:r>
            <w:r w:rsidRPr="00853A21">
              <w:rPr>
                <w:rFonts w:ascii="Times New Roman" w:hAnsi="Times New Roman" w:cs="Times New Roman"/>
                <w:spacing w:val="40"/>
                <w:w w:val="105"/>
                <w:sz w:val="16"/>
                <w:szCs w:val="16"/>
              </w:rPr>
              <w:t xml:space="preserve"> </w:t>
            </w:r>
            <w:r w:rsidRPr="00853A21">
              <w:rPr>
                <w:rFonts w:ascii="Times New Roman" w:hAnsi="Times New Roman" w:cs="Times New Roman"/>
                <w:w w:val="105"/>
                <w:sz w:val="16"/>
                <w:szCs w:val="16"/>
              </w:rPr>
              <w:t>Б.-А.Леві,</w:t>
            </w:r>
            <w:r w:rsidRPr="00853A21">
              <w:rPr>
                <w:rFonts w:ascii="Times New Roman" w:hAnsi="Times New Roman" w:cs="Times New Roman"/>
                <w:spacing w:val="40"/>
                <w:w w:val="105"/>
                <w:sz w:val="16"/>
                <w:szCs w:val="16"/>
              </w:rPr>
              <w:t xml:space="preserve"> </w:t>
            </w:r>
            <w:r w:rsidRPr="00853A21">
              <w:rPr>
                <w:rFonts w:ascii="Times New Roman" w:hAnsi="Times New Roman" w:cs="Times New Roman"/>
                <w:w w:val="105"/>
                <w:sz w:val="16"/>
                <w:szCs w:val="16"/>
              </w:rPr>
              <w:t>лівійська</w:t>
            </w:r>
            <w:r w:rsidRPr="00853A21">
              <w:rPr>
                <w:rFonts w:ascii="Times New Roman" w:hAnsi="Times New Roman" w:cs="Times New Roman"/>
                <w:spacing w:val="40"/>
                <w:w w:val="105"/>
                <w:sz w:val="16"/>
                <w:szCs w:val="16"/>
              </w:rPr>
              <w:t xml:space="preserve"> </w:t>
            </w:r>
            <w:r w:rsidRPr="00853A21">
              <w:rPr>
                <w:rFonts w:ascii="Times New Roman" w:hAnsi="Times New Roman" w:cs="Times New Roman"/>
                <w:w w:val="105"/>
                <w:sz w:val="16"/>
                <w:szCs w:val="16"/>
              </w:rPr>
              <w:t>війна</w:t>
            </w:r>
            <w:r w:rsidRPr="00853A21">
              <w:rPr>
                <w:rFonts w:ascii="Times New Roman" w:hAnsi="Times New Roman" w:cs="Times New Roman"/>
                <w:spacing w:val="40"/>
                <w:w w:val="105"/>
                <w:sz w:val="16"/>
                <w:szCs w:val="16"/>
              </w:rPr>
              <w:t xml:space="preserve"> </w:t>
            </w:r>
            <w:r w:rsidRPr="00853A21">
              <w:rPr>
                <w:rFonts w:ascii="Times New Roman" w:hAnsi="Times New Roman" w:cs="Times New Roman"/>
                <w:w w:val="105"/>
                <w:sz w:val="16"/>
                <w:szCs w:val="16"/>
              </w:rPr>
              <w:t>поклала кінець давньому розумінню суверенітету, при якому всі злочини дозволені за умови, що вони відбуваються всередині кордонів однієї держави. І ця ж війна породила ідею загальності прав людини, що є не просто добрим побажанням, але священним обов'язком.</w:t>
            </w:r>
          </w:p>
          <w:p w14:paraId="65A7A950" w14:textId="1F2F5C09" w:rsidR="00213576" w:rsidRPr="00853A21" w:rsidRDefault="00213576" w:rsidP="00270D43">
            <w:pPr>
              <w:pStyle w:val="TableParagraph"/>
              <w:adjustRightInd w:val="0"/>
              <w:snapToGrid w:val="0"/>
              <w:ind w:left="0"/>
              <w:jc w:val="both"/>
              <w:rPr>
                <w:rFonts w:ascii="Times New Roman" w:hAnsi="Times New Roman" w:cs="Times New Roman"/>
                <w:sz w:val="16"/>
                <w:szCs w:val="16"/>
              </w:rPr>
            </w:pPr>
            <w:r w:rsidRPr="00853A21">
              <w:rPr>
                <w:rFonts w:ascii="Times New Roman" w:hAnsi="Times New Roman" w:cs="Times New Roman"/>
                <w:w w:val="105"/>
                <w:sz w:val="16"/>
                <w:szCs w:val="16"/>
              </w:rPr>
              <w:t>Міжнародної ініціативи прозорості видобувних галузей (ЕITI), що передбачає оприлюднення</w:t>
            </w:r>
            <w:r w:rsidRPr="00853A21">
              <w:rPr>
                <w:rFonts w:ascii="Times New Roman" w:hAnsi="Times New Roman" w:cs="Times New Roman"/>
                <w:spacing w:val="40"/>
                <w:w w:val="105"/>
                <w:sz w:val="16"/>
                <w:szCs w:val="16"/>
              </w:rPr>
              <w:t xml:space="preserve"> </w:t>
            </w:r>
            <w:r w:rsidRPr="00853A21">
              <w:rPr>
                <w:rFonts w:ascii="Times New Roman" w:hAnsi="Times New Roman" w:cs="Times New Roman"/>
                <w:w w:val="105"/>
                <w:sz w:val="16"/>
                <w:szCs w:val="16"/>
              </w:rPr>
              <w:t>фінансових платежів компаній, насамперед до державних бюджетів, що дозволить контролювати природні ресурси як світовій громадськості, так і міжнародним організаціям.</w:t>
            </w:r>
          </w:p>
          <w:p w14:paraId="6C175EF7" w14:textId="3BB04B50" w:rsidR="00213576" w:rsidRPr="00853A21" w:rsidRDefault="00213576" w:rsidP="00270D43">
            <w:pPr>
              <w:pStyle w:val="TableParagraph"/>
              <w:adjustRightInd w:val="0"/>
              <w:snapToGrid w:val="0"/>
              <w:ind w:left="0"/>
              <w:jc w:val="both"/>
              <w:rPr>
                <w:rFonts w:ascii="Times New Roman" w:hAnsi="Times New Roman" w:cs="Times New Roman"/>
                <w:sz w:val="16"/>
                <w:szCs w:val="16"/>
              </w:rPr>
            </w:pPr>
            <w:r w:rsidRPr="00853A21">
              <w:rPr>
                <w:rFonts w:ascii="Times New Roman" w:hAnsi="Times New Roman" w:cs="Times New Roman"/>
                <w:w w:val="105"/>
                <w:sz w:val="16"/>
                <w:szCs w:val="16"/>
              </w:rPr>
              <w:t>Громадські організації безпосередньо контролюють імплементацію стандартів EITI у своїх країнах та через глобальну коаліцію неурядових організацій «Публікуй, що платиш» (Transparency International, Revenue Watch Institute, Open</w:t>
            </w:r>
            <w:r w:rsidRPr="00853A21">
              <w:rPr>
                <w:rFonts w:ascii="Times New Roman" w:hAnsi="Times New Roman" w:cs="Times New Roman"/>
                <w:spacing w:val="40"/>
                <w:w w:val="105"/>
                <w:sz w:val="16"/>
                <w:szCs w:val="16"/>
              </w:rPr>
              <w:t xml:space="preserve"> </w:t>
            </w:r>
            <w:r w:rsidRPr="00853A21">
              <w:rPr>
                <w:rFonts w:ascii="Times New Roman" w:hAnsi="Times New Roman" w:cs="Times New Roman"/>
                <w:w w:val="105"/>
                <w:sz w:val="16"/>
                <w:szCs w:val="16"/>
              </w:rPr>
              <w:t>Society</w:t>
            </w:r>
            <w:r w:rsidRPr="00853A21">
              <w:rPr>
                <w:rFonts w:ascii="Times New Roman" w:hAnsi="Times New Roman" w:cs="Times New Roman"/>
                <w:spacing w:val="40"/>
                <w:w w:val="105"/>
                <w:sz w:val="16"/>
                <w:szCs w:val="16"/>
              </w:rPr>
              <w:t xml:space="preserve"> </w:t>
            </w:r>
            <w:r w:rsidRPr="00853A21">
              <w:rPr>
                <w:rFonts w:ascii="Times New Roman" w:hAnsi="Times New Roman" w:cs="Times New Roman"/>
                <w:w w:val="105"/>
                <w:sz w:val="16"/>
                <w:szCs w:val="16"/>
              </w:rPr>
              <w:t>Institute,</w:t>
            </w:r>
            <w:r w:rsidRPr="00853A21">
              <w:rPr>
                <w:rFonts w:ascii="Times New Roman" w:hAnsi="Times New Roman" w:cs="Times New Roman"/>
                <w:spacing w:val="40"/>
                <w:w w:val="105"/>
                <w:sz w:val="16"/>
                <w:szCs w:val="16"/>
              </w:rPr>
              <w:t xml:space="preserve"> </w:t>
            </w:r>
            <w:r w:rsidRPr="00853A21">
              <w:rPr>
                <w:rFonts w:ascii="Times New Roman" w:hAnsi="Times New Roman" w:cs="Times New Roman"/>
                <w:w w:val="105"/>
                <w:sz w:val="16"/>
                <w:szCs w:val="16"/>
              </w:rPr>
              <w:t>Global</w:t>
            </w:r>
            <w:r w:rsidRPr="00853A21">
              <w:rPr>
                <w:rFonts w:ascii="Times New Roman" w:hAnsi="Times New Roman" w:cs="Times New Roman"/>
                <w:spacing w:val="40"/>
                <w:w w:val="105"/>
                <w:sz w:val="16"/>
                <w:szCs w:val="16"/>
              </w:rPr>
              <w:t xml:space="preserve"> </w:t>
            </w:r>
            <w:r w:rsidRPr="00853A21">
              <w:rPr>
                <w:rFonts w:ascii="Times New Roman" w:hAnsi="Times New Roman" w:cs="Times New Roman"/>
                <w:w w:val="105"/>
                <w:sz w:val="16"/>
                <w:szCs w:val="16"/>
              </w:rPr>
              <w:t>Witness,</w:t>
            </w:r>
            <w:r w:rsidRPr="00853A21">
              <w:rPr>
                <w:rFonts w:ascii="Times New Roman" w:hAnsi="Times New Roman" w:cs="Times New Roman"/>
                <w:spacing w:val="40"/>
                <w:w w:val="105"/>
                <w:sz w:val="16"/>
                <w:szCs w:val="16"/>
              </w:rPr>
              <w:t xml:space="preserve"> </w:t>
            </w:r>
            <w:r w:rsidRPr="00853A21">
              <w:rPr>
                <w:rFonts w:ascii="Times New Roman" w:hAnsi="Times New Roman" w:cs="Times New Roman"/>
                <w:w w:val="105"/>
                <w:sz w:val="16"/>
                <w:szCs w:val="16"/>
              </w:rPr>
              <w:t>Oxfam</w:t>
            </w:r>
          </w:p>
        </w:tc>
      </w:tr>
    </w:tbl>
    <w:p w14:paraId="6E53D888" w14:textId="77777777" w:rsidR="0093587C" w:rsidRPr="00853A21" w:rsidRDefault="0093587C" w:rsidP="0012192B">
      <w:pPr>
        <w:adjustRightInd w:val="0"/>
        <w:snapToGrid w:val="0"/>
        <w:spacing w:after="0" w:line="240" w:lineRule="auto"/>
        <w:ind w:firstLine="567"/>
        <w:jc w:val="both"/>
        <w:rPr>
          <w:rFonts w:ascii="Times New Roman" w:hAnsi="Times New Roman" w:cs="Times New Roman"/>
          <w:sz w:val="16"/>
          <w:szCs w:val="16"/>
        </w:rPr>
      </w:pPr>
    </w:p>
    <w:p w14:paraId="3D50AEB6" w14:textId="6DAB1E44" w:rsidR="00414F92" w:rsidRPr="003336C6" w:rsidRDefault="00414F92" w:rsidP="0012192B">
      <w:pPr>
        <w:adjustRightInd w:val="0"/>
        <w:snapToGrid w:val="0"/>
        <w:spacing w:after="0" w:line="240" w:lineRule="auto"/>
        <w:ind w:firstLine="567"/>
        <w:jc w:val="both"/>
        <w:rPr>
          <w:rFonts w:ascii="Times New Roman" w:hAnsi="Times New Roman" w:cs="Times New Roman"/>
          <w:sz w:val="20"/>
          <w:szCs w:val="20"/>
        </w:rPr>
      </w:pPr>
      <w:r w:rsidRPr="003336C6">
        <w:rPr>
          <w:rFonts w:ascii="Times New Roman" w:hAnsi="Times New Roman" w:cs="Times New Roman"/>
          <w:sz w:val="20"/>
          <w:szCs w:val="20"/>
        </w:rPr>
        <w:t>За останні сорок років стало зрозумілим, що дійсність не повністю відповідає прогнозам, і розвиток здійснюється нелінійно. Тенденції в економіці, екології та соціології достовірно прогнозуються виключно на короткотермінову та середньотермінову перспективу. Виявлення закономірностей у сфері сталого розвитку, визначеного 1992 р. новою глобальною ідеологією розвитку людства, триває.</w:t>
      </w:r>
    </w:p>
    <w:p w14:paraId="7A4293D0" w14:textId="5C1F91BE" w:rsidR="0001081C" w:rsidRPr="003336C6" w:rsidRDefault="00414F92" w:rsidP="009B4660">
      <w:pPr>
        <w:adjustRightInd w:val="0"/>
        <w:snapToGrid w:val="0"/>
        <w:spacing w:after="0" w:line="240" w:lineRule="auto"/>
        <w:ind w:firstLine="567"/>
        <w:jc w:val="both"/>
        <w:rPr>
          <w:rFonts w:ascii="Times New Roman" w:hAnsi="Times New Roman" w:cs="Times New Roman"/>
          <w:sz w:val="20"/>
          <w:szCs w:val="20"/>
        </w:rPr>
      </w:pPr>
      <w:r w:rsidRPr="003336C6">
        <w:rPr>
          <w:rFonts w:ascii="Times New Roman" w:hAnsi="Times New Roman" w:cs="Times New Roman"/>
          <w:sz w:val="20"/>
          <w:szCs w:val="20"/>
        </w:rPr>
        <w:t>Висновки проекту на замовлення Римського клубу щодо дослідження до</w:t>
      </w:r>
      <w:r w:rsidR="00CD5A8D" w:rsidRPr="003336C6">
        <w:rPr>
          <w:rFonts w:ascii="Times New Roman" w:hAnsi="Times New Roman" w:cs="Times New Roman"/>
          <w:sz w:val="20"/>
          <w:szCs w:val="20"/>
        </w:rPr>
        <w:t>гострокових наслідків глобальних загроз (книга «Межі зростання» (</w:t>
      </w:r>
      <w:r w:rsidR="00CD5A8D" w:rsidRPr="003336C6">
        <w:rPr>
          <w:rFonts w:ascii="Times New Roman" w:hAnsi="Times New Roman" w:cs="Times New Roman"/>
          <w:i/>
          <w:sz w:val="20"/>
          <w:szCs w:val="20"/>
        </w:rPr>
        <w:t>The Limits to Growth</w:t>
      </w:r>
      <w:r w:rsidR="00CD5A8D" w:rsidRPr="003336C6">
        <w:rPr>
          <w:rFonts w:ascii="Times New Roman" w:hAnsi="Times New Roman" w:cs="Times New Roman"/>
          <w:sz w:val="20"/>
          <w:szCs w:val="20"/>
        </w:rPr>
        <w:t xml:space="preserve">), 1972) засвідчили, що при збереженні сьогоднішніх тенденцій зростання вже наступні покоління людства сягнуть меж демографічної та економічної експансії, що спричинить неконтрольовану кризу та крах суспільно-економічної системи. У доповіді наголошується, що поки ще можна уникнути катастрофи через вжиття заходів з обмеження та регулювання </w:t>
      </w:r>
      <w:r w:rsidR="00CD5A8D" w:rsidRPr="003336C6">
        <w:rPr>
          <w:rFonts w:ascii="Times New Roman" w:hAnsi="Times New Roman" w:cs="Times New Roman"/>
          <w:sz w:val="20"/>
          <w:szCs w:val="20"/>
        </w:rPr>
        <w:lastRenderedPageBreak/>
        <w:t>зростання і переорієнтації цілей. Зволікання  зробить  зазначені  заходи</w:t>
      </w:r>
      <w:r w:rsidR="009B4660" w:rsidRPr="00C37F1C">
        <w:rPr>
          <w:rFonts w:ascii="Times New Roman" w:hAnsi="Times New Roman" w:cs="Times New Roman"/>
          <w:sz w:val="20"/>
          <w:szCs w:val="20"/>
        </w:rPr>
        <w:t xml:space="preserve"> </w:t>
      </w:r>
      <w:r w:rsidR="0001081C" w:rsidRPr="003336C6">
        <w:rPr>
          <w:rFonts w:ascii="Times New Roman" w:hAnsi="Times New Roman" w:cs="Times New Roman"/>
          <w:sz w:val="20"/>
          <w:szCs w:val="20"/>
        </w:rPr>
        <w:t>щодалі болісними, а кількість шансів на кінцевий успіх зменшуватиметься. Тепер достаток, що перевищує певні межі, уже не вважається безумовним синонімом прогресу і щастя, передумовою миру і порядку.</w:t>
      </w:r>
    </w:p>
    <w:p w14:paraId="3BE56CC2" w14:textId="1902BE79" w:rsidR="00062E7C" w:rsidRPr="003336C6" w:rsidRDefault="0001081C" w:rsidP="0012192B">
      <w:pPr>
        <w:adjustRightInd w:val="0"/>
        <w:snapToGrid w:val="0"/>
        <w:spacing w:after="0" w:line="240" w:lineRule="auto"/>
        <w:ind w:firstLine="567"/>
        <w:jc w:val="both"/>
        <w:rPr>
          <w:rFonts w:ascii="Times New Roman" w:hAnsi="Times New Roman" w:cs="Times New Roman"/>
          <w:sz w:val="20"/>
          <w:szCs w:val="20"/>
        </w:rPr>
      </w:pPr>
      <w:r w:rsidRPr="003336C6">
        <w:rPr>
          <w:rFonts w:ascii="Times New Roman" w:hAnsi="Times New Roman" w:cs="Times New Roman"/>
          <w:sz w:val="20"/>
          <w:szCs w:val="20"/>
        </w:rPr>
        <w:t>У багатих країнах з перехідною економікою вважають, що зростання є необхідним для того, щоб підвищувати рівень  зайнятості,  соціальну  мобіль</w:t>
      </w:r>
      <w:r w:rsidR="00062E7C" w:rsidRPr="003336C6">
        <w:rPr>
          <w:rFonts w:ascii="Times New Roman" w:hAnsi="Times New Roman" w:cs="Times New Roman"/>
          <w:sz w:val="20"/>
          <w:szCs w:val="20"/>
        </w:rPr>
        <w:t>ність, технічну оснащеність, у бідних – це єдиний засіб вибратися зі злиднів.</w:t>
      </w:r>
    </w:p>
    <w:p w14:paraId="6B8A20AC" w14:textId="3F64F260" w:rsidR="00062E7C" w:rsidRPr="00C62DA9" w:rsidRDefault="00062E7C" w:rsidP="0012192B">
      <w:pPr>
        <w:adjustRightInd w:val="0"/>
        <w:snapToGrid w:val="0"/>
        <w:spacing w:after="0" w:line="240" w:lineRule="auto"/>
        <w:ind w:firstLine="567"/>
        <w:jc w:val="both"/>
        <w:rPr>
          <w:rFonts w:ascii="Times New Roman" w:hAnsi="Times New Roman" w:cs="Times New Roman"/>
          <w:sz w:val="20"/>
          <w:szCs w:val="20"/>
        </w:rPr>
      </w:pPr>
      <w:r w:rsidRPr="00C62DA9">
        <w:rPr>
          <w:rFonts w:ascii="Times New Roman" w:hAnsi="Times New Roman" w:cs="Times New Roman"/>
          <w:b/>
          <w:sz w:val="20"/>
          <w:szCs w:val="20"/>
        </w:rPr>
        <w:t xml:space="preserve">Сама </w:t>
      </w:r>
      <w:r w:rsidRPr="00C62DA9">
        <w:rPr>
          <w:rFonts w:ascii="Times New Roman" w:hAnsi="Times New Roman" w:cs="Times New Roman"/>
          <w:b/>
          <w:i/>
          <w:sz w:val="20"/>
          <w:szCs w:val="20"/>
        </w:rPr>
        <w:t xml:space="preserve">система природокористування </w:t>
      </w:r>
      <w:r w:rsidRPr="00C62DA9">
        <w:rPr>
          <w:rFonts w:ascii="Times New Roman" w:hAnsi="Times New Roman" w:cs="Times New Roman"/>
          <w:sz w:val="20"/>
          <w:szCs w:val="20"/>
        </w:rPr>
        <w:t>складається з трьох функціональних блоків: «Природне середовище»,</w:t>
      </w:r>
    </w:p>
    <w:p w14:paraId="2D144A4A" w14:textId="77777777" w:rsidR="00062E7C" w:rsidRPr="00C62DA9" w:rsidRDefault="00062E7C" w:rsidP="0012192B">
      <w:pPr>
        <w:adjustRightInd w:val="0"/>
        <w:snapToGrid w:val="0"/>
        <w:spacing w:after="0" w:line="240" w:lineRule="auto"/>
        <w:ind w:firstLine="567"/>
        <w:jc w:val="both"/>
        <w:rPr>
          <w:rFonts w:ascii="Times New Roman" w:hAnsi="Times New Roman" w:cs="Times New Roman"/>
          <w:sz w:val="20"/>
          <w:szCs w:val="20"/>
        </w:rPr>
      </w:pPr>
      <w:r w:rsidRPr="00C62DA9">
        <w:rPr>
          <w:rFonts w:ascii="Times New Roman" w:hAnsi="Times New Roman" w:cs="Times New Roman"/>
          <w:sz w:val="20"/>
          <w:szCs w:val="20"/>
        </w:rPr>
        <w:t>«Господарство» та «Суспільство», які перебувають у постійному взаємозв’язку та взаємовпливі (рис. 1.2).</w:t>
      </w:r>
    </w:p>
    <w:p w14:paraId="7E72D09F" w14:textId="7546008B" w:rsidR="00062E7C" w:rsidRPr="00C62DA9" w:rsidRDefault="00062E7C" w:rsidP="0012192B">
      <w:pPr>
        <w:adjustRightInd w:val="0"/>
        <w:snapToGrid w:val="0"/>
        <w:spacing w:after="0" w:line="240" w:lineRule="auto"/>
        <w:ind w:firstLine="567"/>
        <w:jc w:val="both"/>
        <w:rPr>
          <w:rFonts w:ascii="Times New Roman" w:hAnsi="Times New Roman" w:cs="Times New Roman"/>
          <w:sz w:val="20"/>
          <w:szCs w:val="20"/>
        </w:rPr>
      </w:pPr>
      <w:r w:rsidRPr="00C62DA9">
        <w:rPr>
          <w:rFonts w:ascii="Times New Roman" w:hAnsi="Times New Roman" w:cs="Times New Roman"/>
          <w:sz w:val="20"/>
          <w:szCs w:val="20"/>
        </w:rPr>
        <w:t xml:space="preserve">Еколого-економічна теорія має напрацювання щодо визначення межі стійкості (сталості) для потоків сировини та енергії, запропоновані економістом Г. Дейлі, які називають </w:t>
      </w:r>
      <w:r w:rsidRPr="00C62DA9">
        <w:rPr>
          <w:rFonts w:ascii="Times New Roman" w:hAnsi="Times New Roman" w:cs="Times New Roman"/>
          <w:b/>
          <w:sz w:val="20"/>
          <w:szCs w:val="20"/>
        </w:rPr>
        <w:t>«трьома правилами»</w:t>
      </w:r>
      <w:r w:rsidRPr="00C62DA9">
        <w:rPr>
          <w:rFonts w:ascii="Times New Roman" w:hAnsi="Times New Roman" w:cs="Times New Roman"/>
          <w:sz w:val="20"/>
          <w:szCs w:val="20"/>
        </w:rPr>
        <w:t>:</w:t>
      </w:r>
    </w:p>
    <w:p w14:paraId="15BA5881" w14:textId="77777777" w:rsidR="00062E7C" w:rsidRPr="00C62DA9" w:rsidRDefault="00062E7C" w:rsidP="0012192B">
      <w:pPr>
        <w:numPr>
          <w:ilvl w:val="0"/>
          <w:numId w:val="1"/>
        </w:numPr>
        <w:adjustRightInd w:val="0"/>
        <w:snapToGrid w:val="0"/>
        <w:spacing w:after="0" w:line="240" w:lineRule="auto"/>
        <w:ind w:left="0" w:firstLine="567"/>
        <w:jc w:val="both"/>
        <w:rPr>
          <w:rFonts w:ascii="Times New Roman" w:hAnsi="Times New Roman" w:cs="Times New Roman"/>
          <w:sz w:val="20"/>
          <w:szCs w:val="20"/>
        </w:rPr>
      </w:pPr>
      <w:r w:rsidRPr="00C62DA9">
        <w:rPr>
          <w:rFonts w:ascii="Times New Roman" w:hAnsi="Times New Roman" w:cs="Times New Roman"/>
          <w:sz w:val="20"/>
          <w:szCs w:val="20"/>
        </w:rPr>
        <w:t xml:space="preserve">для </w:t>
      </w:r>
      <w:r w:rsidRPr="00C62DA9">
        <w:rPr>
          <w:rFonts w:ascii="Times New Roman" w:hAnsi="Times New Roman" w:cs="Times New Roman"/>
          <w:b/>
          <w:sz w:val="20"/>
          <w:szCs w:val="20"/>
        </w:rPr>
        <w:t xml:space="preserve">відновлюваних ресурсів </w:t>
      </w:r>
      <w:r w:rsidRPr="00C62DA9">
        <w:rPr>
          <w:rFonts w:ascii="Times New Roman" w:hAnsi="Times New Roman" w:cs="Times New Roman"/>
          <w:sz w:val="20"/>
          <w:szCs w:val="20"/>
        </w:rPr>
        <w:t>(ґрунту, води, лісів, риби) – швидкість використання не може перевищувати швидкість їх самовідновлення;</w:t>
      </w:r>
    </w:p>
    <w:p w14:paraId="28E20057" w14:textId="3F7E78F6" w:rsidR="00062E7C" w:rsidRPr="00C62DA9" w:rsidRDefault="00062E7C" w:rsidP="0012192B">
      <w:pPr>
        <w:numPr>
          <w:ilvl w:val="0"/>
          <w:numId w:val="1"/>
        </w:numPr>
        <w:adjustRightInd w:val="0"/>
        <w:snapToGrid w:val="0"/>
        <w:spacing w:after="0" w:line="240" w:lineRule="auto"/>
        <w:ind w:left="0" w:firstLine="567"/>
        <w:jc w:val="both"/>
        <w:rPr>
          <w:rFonts w:ascii="Times New Roman" w:hAnsi="Times New Roman" w:cs="Times New Roman"/>
          <w:sz w:val="20"/>
          <w:szCs w:val="20"/>
        </w:rPr>
      </w:pPr>
      <w:r w:rsidRPr="00C62DA9">
        <w:rPr>
          <w:rFonts w:ascii="Times New Roman" w:hAnsi="Times New Roman" w:cs="Times New Roman"/>
          <w:sz w:val="20"/>
          <w:szCs w:val="20"/>
        </w:rPr>
        <w:t xml:space="preserve">для </w:t>
      </w:r>
      <w:r w:rsidRPr="00C62DA9">
        <w:rPr>
          <w:rFonts w:ascii="Times New Roman" w:hAnsi="Times New Roman" w:cs="Times New Roman"/>
          <w:b/>
          <w:sz w:val="20"/>
          <w:szCs w:val="20"/>
        </w:rPr>
        <w:t xml:space="preserve">невідновлюваних ресурсів </w:t>
      </w:r>
      <w:r w:rsidRPr="00C62DA9">
        <w:rPr>
          <w:rFonts w:ascii="Times New Roman" w:hAnsi="Times New Roman" w:cs="Times New Roman"/>
          <w:sz w:val="20"/>
          <w:szCs w:val="20"/>
        </w:rPr>
        <w:t>(викопних видів палива, руд з високим вмістом металів й інших сполук, ґрунтових вод) – швидкість споживання не може перевищувати швидкості, з якою для заміщення невідновлювального ресурсу може використовуватися інший, відновлюваний ресурс;</w:t>
      </w:r>
    </w:p>
    <w:p w14:paraId="681684CD" w14:textId="77777777" w:rsidR="001706BC" w:rsidRDefault="00062E7C" w:rsidP="001706BC">
      <w:pPr>
        <w:numPr>
          <w:ilvl w:val="0"/>
          <w:numId w:val="1"/>
        </w:numPr>
        <w:adjustRightInd w:val="0"/>
        <w:snapToGrid w:val="0"/>
        <w:spacing w:after="0" w:line="240" w:lineRule="auto"/>
        <w:ind w:left="0" w:firstLine="567"/>
        <w:jc w:val="both"/>
        <w:rPr>
          <w:rFonts w:ascii="Times New Roman" w:hAnsi="Times New Roman" w:cs="Times New Roman"/>
          <w:sz w:val="20"/>
          <w:szCs w:val="20"/>
        </w:rPr>
      </w:pPr>
      <w:r w:rsidRPr="00C62DA9">
        <w:rPr>
          <w:rFonts w:ascii="Times New Roman" w:hAnsi="Times New Roman" w:cs="Times New Roman"/>
          <w:sz w:val="20"/>
          <w:szCs w:val="20"/>
        </w:rPr>
        <w:t xml:space="preserve">для </w:t>
      </w:r>
      <w:r w:rsidRPr="00C62DA9">
        <w:rPr>
          <w:rFonts w:ascii="Times New Roman" w:hAnsi="Times New Roman" w:cs="Times New Roman"/>
          <w:b/>
          <w:sz w:val="20"/>
          <w:szCs w:val="20"/>
        </w:rPr>
        <w:t xml:space="preserve">забруднювачів </w:t>
      </w:r>
      <w:r w:rsidRPr="00C62DA9">
        <w:rPr>
          <w:rFonts w:ascii="Times New Roman" w:hAnsi="Times New Roman" w:cs="Times New Roman"/>
          <w:sz w:val="20"/>
          <w:szCs w:val="20"/>
        </w:rPr>
        <w:t>– швидкість виникнення  не  має  перевищувати</w:t>
      </w:r>
      <w:r w:rsidR="001706BC">
        <w:rPr>
          <w:rFonts w:ascii="Times New Roman" w:hAnsi="Times New Roman" w:cs="Times New Roman"/>
          <w:sz w:val="20"/>
          <w:szCs w:val="20"/>
        </w:rPr>
        <w:t xml:space="preserve"> </w:t>
      </w:r>
      <w:r w:rsidR="001706BC" w:rsidRPr="001706BC">
        <w:rPr>
          <w:rFonts w:ascii="Times New Roman" w:hAnsi="Times New Roman" w:cs="Times New Roman"/>
          <w:sz w:val="20"/>
          <w:szCs w:val="20"/>
        </w:rPr>
        <w:t>швидкості його розпаду, поглинення або перероблення середовищем без шкоди для відповідного стоку.</w:t>
      </w:r>
    </w:p>
    <w:p w14:paraId="53665E3E" w14:textId="3DFC677B" w:rsidR="001706BC" w:rsidRDefault="001706BC" w:rsidP="001706BC">
      <w:pPr>
        <w:numPr>
          <w:ilvl w:val="0"/>
          <w:numId w:val="1"/>
        </w:numPr>
        <w:adjustRightInd w:val="0"/>
        <w:snapToGrid w:val="0"/>
        <w:spacing w:after="0" w:line="240" w:lineRule="auto"/>
        <w:ind w:left="0" w:firstLine="567"/>
        <w:jc w:val="both"/>
        <w:rPr>
          <w:rFonts w:ascii="Times New Roman" w:hAnsi="Times New Roman" w:cs="Times New Roman"/>
          <w:sz w:val="20"/>
          <w:szCs w:val="20"/>
        </w:rPr>
      </w:pPr>
      <w:r w:rsidRPr="001706BC">
        <w:rPr>
          <w:rFonts w:ascii="Times New Roman" w:hAnsi="Times New Roman" w:cs="Times New Roman"/>
          <w:sz w:val="20"/>
          <w:szCs w:val="20"/>
        </w:rPr>
        <w:t>Світова економіка використовує безліч ключових ресурсів і «виробляє» відходи зі швидкістю, яка не залишає простору для сталого розвитку. Підтримувати більшість потоків у наявних масштабах тривалий час неможливо, надто за умови зростання цих потоків. На думку Г. Дейлі, сталість вимагає меншого споживання природних ресурсів і набагато вищих моральних якостей.</w:t>
      </w:r>
    </w:p>
    <w:p w14:paraId="7A6294E0" w14:textId="171AB732" w:rsidR="001706BC" w:rsidRPr="001706BC" w:rsidRDefault="001706BC" w:rsidP="001706BC">
      <w:pPr>
        <w:numPr>
          <w:ilvl w:val="0"/>
          <w:numId w:val="1"/>
        </w:numPr>
        <w:adjustRightInd w:val="0"/>
        <w:snapToGrid w:val="0"/>
        <w:spacing w:after="0" w:line="240" w:lineRule="auto"/>
        <w:ind w:left="0" w:firstLine="567"/>
        <w:jc w:val="both"/>
        <w:rPr>
          <w:rFonts w:ascii="Times New Roman" w:hAnsi="Times New Roman" w:cs="Times New Roman"/>
          <w:sz w:val="20"/>
          <w:szCs w:val="20"/>
        </w:rPr>
      </w:pPr>
      <w:r w:rsidRPr="001706BC">
        <w:rPr>
          <w:rFonts w:ascii="Times New Roman" w:hAnsi="Times New Roman" w:cs="Times New Roman"/>
          <w:sz w:val="20"/>
          <w:szCs w:val="20"/>
        </w:rPr>
        <w:t>В основі теорії сталого розвитку є теза про неминучість компромісу між чисельністю населення, яку може підтримати Планета, і рівнем матеріального добробуту, який вдасться забезпечити для кожного жителя. Точні кількісні значення і залежності при цьому визначити неможливо, до того ж вони можуть змінюватися з урахуванням вміння людства пристосовуватися, із розвитком технологій, накопиченням знань, змінами екосистем Землі. Що більше часу потребуватиме людство на зменшення екологічного сліду і вжиття заходів щодо переходу до сталого розвитку, то нижчими виявляться життєві стандарти і меншу чисельність населення вдасться утримувати в підсумковій системі. Якщо запізнення перевищить якесь граничне значення, на систему чекають катастрофічні наслідки.</w:t>
      </w:r>
    </w:p>
    <w:p w14:paraId="32F65D39" w14:textId="77777777" w:rsidR="001706BC" w:rsidRPr="001706BC" w:rsidRDefault="001706BC" w:rsidP="001706BC">
      <w:pPr>
        <w:pStyle w:val="ListParagraph"/>
        <w:numPr>
          <w:ilvl w:val="0"/>
          <w:numId w:val="1"/>
        </w:numPr>
        <w:tabs>
          <w:tab w:val="left" w:pos="7220"/>
        </w:tabs>
        <w:adjustRightInd w:val="0"/>
        <w:snapToGrid w:val="0"/>
        <w:rPr>
          <w:rFonts w:ascii="Times New Roman" w:hAnsi="Times New Roman" w:cs="Times New Roman"/>
          <w:sz w:val="20"/>
          <w:szCs w:val="20"/>
        </w:rPr>
      </w:pPr>
      <w:r w:rsidRPr="001706BC">
        <w:rPr>
          <w:rFonts w:ascii="Times New Roman" w:hAnsi="Times New Roman" w:cs="Times New Roman"/>
          <w:sz w:val="20"/>
          <w:szCs w:val="20"/>
        </w:rPr>
        <w:t xml:space="preserve">Для реалізації цієї скоординованості потрібна активна гармонізація </w:t>
      </w:r>
      <w:r w:rsidRPr="001706BC">
        <w:rPr>
          <w:rFonts w:ascii="Times New Roman" w:hAnsi="Times New Roman" w:cs="Times New Roman"/>
          <w:sz w:val="20"/>
          <w:szCs w:val="20"/>
        </w:rPr>
        <w:lastRenderedPageBreak/>
        <w:t>законодавчої бази держав, узгодження заходів, зокрема щодо реалізації екологічної політики, вироблення спільних напрямів і стандартів.</w:t>
      </w:r>
    </w:p>
    <w:p w14:paraId="232063CB" w14:textId="77777777" w:rsidR="007E436B" w:rsidRPr="00062E7C" w:rsidRDefault="007E436B" w:rsidP="009672D9">
      <w:pPr>
        <w:adjustRightInd w:val="0"/>
        <w:snapToGrid w:val="0"/>
        <w:spacing w:after="0" w:line="240" w:lineRule="auto"/>
        <w:ind w:left="567"/>
        <w:jc w:val="both"/>
        <w:rPr>
          <w:rFonts w:ascii="Times New Roman" w:hAnsi="Times New Roman" w:cs="Times New Roman"/>
          <w:sz w:val="16"/>
          <w:szCs w:val="16"/>
        </w:rPr>
      </w:pPr>
    </w:p>
    <w:p w14:paraId="19813C4E" w14:textId="350648EA" w:rsidR="00054256" w:rsidRPr="00853A21" w:rsidRDefault="00E62C33" w:rsidP="0012192B">
      <w:pPr>
        <w:adjustRightInd w:val="0"/>
        <w:snapToGrid w:val="0"/>
        <w:spacing w:after="0" w:line="240" w:lineRule="auto"/>
        <w:ind w:firstLine="567"/>
        <w:jc w:val="both"/>
        <w:rPr>
          <w:rFonts w:ascii="Times New Roman" w:hAnsi="Times New Roman" w:cs="Times New Roman"/>
          <w:spacing w:val="-2"/>
          <w:w w:val="105"/>
          <w:sz w:val="16"/>
          <w:szCs w:val="16"/>
        </w:rPr>
      </w:pPr>
      <w:r w:rsidRPr="00853A21">
        <w:rPr>
          <w:rFonts w:ascii="Times New Roman" w:hAnsi="Times New Roman" w:cs="Times New Roman"/>
          <w:noProof/>
          <w:sz w:val="16"/>
          <w:szCs w:val="16"/>
        </w:rPr>
        <mc:AlternateContent>
          <mc:Choice Requires="wpg">
            <w:drawing>
              <wp:inline distT="0" distB="0" distL="0" distR="0" wp14:anchorId="4D28024A" wp14:editId="345C4924">
                <wp:extent cx="4258311" cy="2894276"/>
                <wp:effectExtent l="0" t="0" r="27940" b="20955"/>
                <wp:docPr id="167" name="Group 1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58311" cy="2894276"/>
                          <a:chOff x="4472" y="4475"/>
                          <a:chExt cx="6073332" cy="3002390"/>
                        </a:xfrm>
                      </wpg:grpSpPr>
                      <wps:wsp>
                        <wps:cNvPr id="168" name="Graphic 168"/>
                        <wps:cNvSpPr/>
                        <wps:spPr>
                          <a:xfrm>
                            <a:off x="68952" y="379946"/>
                            <a:ext cx="1487805" cy="931822"/>
                          </a:xfrm>
                          <a:custGeom>
                            <a:avLst/>
                            <a:gdLst/>
                            <a:ahLst/>
                            <a:cxnLst/>
                            <a:rect l="l" t="t" r="r" b="b"/>
                            <a:pathLst>
                              <a:path w="1487805" h="827405">
                                <a:moveTo>
                                  <a:pt x="137807" y="0"/>
                                </a:moveTo>
                                <a:lnTo>
                                  <a:pt x="94253" y="7026"/>
                                </a:lnTo>
                                <a:lnTo>
                                  <a:pt x="56424" y="26591"/>
                                </a:lnTo>
                                <a:lnTo>
                                  <a:pt x="26591" y="56424"/>
                                </a:lnTo>
                                <a:lnTo>
                                  <a:pt x="7026" y="94253"/>
                                </a:lnTo>
                                <a:lnTo>
                                  <a:pt x="0" y="137807"/>
                                </a:lnTo>
                                <a:lnTo>
                                  <a:pt x="0" y="689000"/>
                                </a:lnTo>
                                <a:lnTo>
                                  <a:pt x="7026" y="732554"/>
                                </a:lnTo>
                                <a:lnTo>
                                  <a:pt x="26591" y="770383"/>
                                </a:lnTo>
                                <a:lnTo>
                                  <a:pt x="56424" y="800216"/>
                                </a:lnTo>
                                <a:lnTo>
                                  <a:pt x="94253" y="819781"/>
                                </a:lnTo>
                                <a:lnTo>
                                  <a:pt x="137807" y="826808"/>
                                </a:lnTo>
                                <a:lnTo>
                                  <a:pt x="1349844" y="826808"/>
                                </a:lnTo>
                                <a:lnTo>
                                  <a:pt x="1393403" y="819781"/>
                                </a:lnTo>
                                <a:lnTo>
                                  <a:pt x="1431233" y="800216"/>
                                </a:lnTo>
                                <a:lnTo>
                                  <a:pt x="1461064" y="770383"/>
                                </a:lnTo>
                                <a:lnTo>
                                  <a:pt x="1480627" y="732554"/>
                                </a:lnTo>
                                <a:lnTo>
                                  <a:pt x="1487652" y="689000"/>
                                </a:lnTo>
                                <a:lnTo>
                                  <a:pt x="1487652" y="137807"/>
                                </a:lnTo>
                                <a:lnTo>
                                  <a:pt x="1480627" y="94253"/>
                                </a:lnTo>
                                <a:lnTo>
                                  <a:pt x="1461064" y="56424"/>
                                </a:lnTo>
                                <a:lnTo>
                                  <a:pt x="1431233" y="26591"/>
                                </a:lnTo>
                                <a:lnTo>
                                  <a:pt x="1393403" y="7026"/>
                                </a:lnTo>
                                <a:lnTo>
                                  <a:pt x="1349844" y="0"/>
                                </a:lnTo>
                                <a:lnTo>
                                  <a:pt x="137807" y="0"/>
                                </a:lnTo>
                                <a:close/>
                              </a:path>
                            </a:pathLst>
                          </a:custGeom>
                          <a:ln w="8953">
                            <a:solidFill>
                              <a:srgbClr val="000000"/>
                            </a:solidFill>
                            <a:prstDash val="solid"/>
                          </a:ln>
                        </wps:spPr>
                        <wps:bodyPr wrap="square" lIns="0" tIns="0" rIns="0" bIns="0" rtlCol="0">
                          <a:prstTxWarp prst="textNoShape">
                            <a:avLst/>
                          </a:prstTxWarp>
                          <a:noAutofit/>
                        </wps:bodyPr>
                      </wps:wsp>
                      <wps:wsp>
                        <wps:cNvPr id="169" name="Graphic 169"/>
                        <wps:cNvSpPr/>
                        <wps:spPr>
                          <a:xfrm>
                            <a:off x="279681" y="720846"/>
                            <a:ext cx="1120140" cy="349250"/>
                          </a:xfrm>
                          <a:custGeom>
                            <a:avLst/>
                            <a:gdLst/>
                            <a:ahLst/>
                            <a:cxnLst/>
                            <a:rect l="l" t="t" r="r" b="b"/>
                            <a:pathLst>
                              <a:path w="1120140" h="349250">
                                <a:moveTo>
                                  <a:pt x="1119911" y="0"/>
                                </a:moveTo>
                                <a:lnTo>
                                  <a:pt x="0" y="0"/>
                                </a:lnTo>
                                <a:lnTo>
                                  <a:pt x="0" y="349224"/>
                                </a:lnTo>
                                <a:lnTo>
                                  <a:pt x="1119911" y="349224"/>
                                </a:lnTo>
                                <a:lnTo>
                                  <a:pt x="1119911" y="0"/>
                                </a:lnTo>
                                <a:close/>
                              </a:path>
                            </a:pathLst>
                          </a:custGeom>
                          <a:solidFill>
                            <a:srgbClr val="FFFFFF"/>
                          </a:solidFill>
                        </wps:spPr>
                        <wps:bodyPr wrap="square" lIns="0" tIns="0" rIns="0" bIns="0" rtlCol="0">
                          <a:prstTxWarp prst="textNoShape">
                            <a:avLst/>
                          </a:prstTxWarp>
                          <a:noAutofit/>
                        </wps:bodyPr>
                      </wps:wsp>
                      <wps:wsp>
                        <wps:cNvPr id="170" name="Graphic 170"/>
                        <wps:cNvSpPr/>
                        <wps:spPr>
                          <a:xfrm>
                            <a:off x="3379748" y="720820"/>
                            <a:ext cx="2306258" cy="639313"/>
                          </a:xfrm>
                          <a:custGeom>
                            <a:avLst/>
                            <a:gdLst/>
                            <a:ahLst/>
                            <a:cxnLst/>
                            <a:rect l="l" t="t" r="r" b="b"/>
                            <a:pathLst>
                              <a:path w="1734820" h="827405">
                                <a:moveTo>
                                  <a:pt x="137807" y="0"/>
                                </a:moveTo>
                                <a:lnTo>
                                  <a:pt x="94253" y="7026"/>
                                </a:lnTo>
                                <a:lnTo>
                                  <a:pt x="56424" y="26591"/>
                                </a:lnTo>
                                <a:lnTo>
                                  <a:pt x="26591" y="56424"/>
                                </a:lnTo>
                                <a:lnTo>
                                  <a:pt x="7026" y="94253"/>
                                </a:lnTo>
                                <a:lnTo>
                                  <a:pt x="0" y="137807"/>
                                </a:lnTo>
                                <a:lnTo>
                                  <a:pt x="0" y="689000"/>
                                </a:lnTo>
                                <a:lnTo>
                                  <a:pt x="7026" y="732554"/>
                                </a:lnTo>
                                <a:lnTo>
                                  <a:pt x="26591" y="770383"/>
                                </a:lnTo>
                                <a:lnTo>
                                  <a:pt x="56424" y="800216"/>
                                </a:lnTo>
                                <a:lnTo>
                                  <a:pt x="94253" y="819781"/>
                                </a:lnTo>
                                <a:lnTo>
                                  <a:pt x="137807" y="826808"/>
                                </a:lnTo>
                                <a:lnTo>
                                  <a:pt x="1596402" y="826808"/>
                                </a:lnTo>
                                <a:lnTo>
                                  <a:pt x="1639955" y="819781"/>
                                </a:lnTo>
                                <a:lnTo>
                                  <a:pt x="1677781" y="800216"/>
                                </a:lnTo>
                                <a:lnTo>
                                  <a:pt x="1707610" y="770383"/>
                                </a:lnTo>
                                <a:lnTo>
                                  <a:pt x="1727172" y="732554"/>
                                </a:lnTo>
                                <a:lnTo>
                                  <a:pt x="1734197" y="689000"/>
                                </a:lnTo>
                                <a:lnTo>
                                  <a:pt x="1734197" y="137807"/>
                                </a:lnTo>
                                <a:lnTo>
                                  <a:pt x="1727172" y="94253"/>
                                </a:lnTo>
                                <a:lnTo>
                                  <a:pt x="1707610" y="56424"/>
                                </a:lnTo>
                                <a:lnTo>
                                  <a:pt x="1677781" y="26591"/>
                                </a:lnTo>
                                <a:lnTo>
                                  <a:pt x="1639955" y="7026"/>
                                </a:lnTo>
                                <a:lnTo>
                                  <a:pt x="1596402" y="0"/>
                                </a:lnTo>
                                <a:lnTo>
                                  <a:pt x="137807" y="0"/>
                                </a:lnTo>
                                <a:close/>
                              </a:path>
                            </a:pathLst>
                          </a:custGeom>
                          <a:ln w="8953">
                            <a:solidFill>
                              <a:srgbClr val="000000"/>
                            </a:solidFill>
                            <a:prstDash val="solid"/>
                          </a:ln>
                        </wps:spPr>
                        <wps:bodyPr wrap="square" lIns="0" tIns="0" rIns="0" bIns="0" rtlCol="0">
                          <a:prstTxWarp prst="textNoShape">
                            <a:avLst/>
                          </a:prstTxWarp>
                          <a:noAutofit/>
                        </wps:bodyPr>
                      </wps:wsp>
                      <wps:wsp>
                        <wps:cNvPr id="171" name="Graphic 171"/>
                        <wps:cNvSpPr/>
                        <wps:spPr>
                          <a:xfrm>
                            <a:off x="3641232" y="820529"/>
                            <a:ext cx="1301750" cy="200025"/>
                          </a:xfrm>
                          <a:custGeom>
                            <a:avLst/>
                            <a:gdLst/>
                            <a:ahLst/>
                            <a:cxnLst/>
                            <a:rect l="l" t="t" r="r" b="b"/>
                            <a:pathLst>
                              <a:path w="1301750" h="200025">
                                <a:moveTo>
                                  <a:pt x="1301394" y="0"/>
                                </a:moveTo>
                                <a:lnTo>
                                  <a:pt x="0" y="0"/>
                                </a:lnTo>
                                <a:lnTo>
                                  <a:pt x="0" y="199986"/>
                                </a:lnTo>
                                <a:lnTo>
                                  <a:pt x="1301394" y="199986"/>
                                </a:lnTo>
                                <a:lnTo>
                                  <a:pt x="1301394" y="0"/>
                                </a:lnTo>
                                <a:close/>
                              </a:path>
                            </a:pathLst>
                          </a:custGeom>
                          <a:solidFill>
                            <a:srgbClr val="FFFFFF"/>
                          </a:solidFill>
                        </wps:spPr>
                        <wps:bodyPr wrap="square" lIns="0" tIns="0" rIns="0" bIns="0" rtlCol="0">
                          <a:prstTxWarp prst="textNoShape">
                            <a:avLst/>
                          </a:prstTxWarp>
                          <a:noAutofit/>
                        </wps:bodyPr>
                      </wps:wsp>
                      <wps:wsp>
                        <wps:cNvPr id="172" name="Graphic 172"/>
                        <wps:cNvSpPr/>
                        <wps:spPr>
                          <a:xfrm>
                            <a:off x="1684961" y="2323705"/>
                            <a:ext cx="1832610" cy="618490"/>
                          </a:xfrm>
                          <a:custGeom>
                            <a:avLst/>
                            <a:gdLst/>
                            <a:ahLst/>
                            <a:cxnLst/>
                            <a:rect l="l" t="t" r="r" b="b"/>
                            <a:pathLst>
                              <a:path w="1832610" h="618490">
                                <a:moveTo>
                                  <a:pt x="102971" y="0"/>
                                </a:moveTo>
                                <a:lnTo>
                                  <a:pt x="62890" y="8093"/>
                                </a:lnTo>
                                <a:lnTo>
                                  <a:pt x="30159" y="30164"/>
                                </a:lnTo>
                                <a:lnTo>
                                  <a:pt x="8091" y="62895"/>
                                </a:lnTo>
                                <a:lnTo>
                                  <a:pt x="0" y="102971"/>
                                </a:lnTo>
                                <a:lnTo>
                                  <a:pt x="0" y="514883"/>
                                </a:lnTo>
                                <a:lnTo>
                                  <a:pt x="8091" y="554966"/>
                                </a:lnTo>
                                <a:lnTo>
                                  <a:pt x="30159" y="587702"/>
                                </a:lnTo>
                                <a:lnTo>
                                  <a:pt x="62890" y="609773"/>
                                </a:lnTo>
                                <a:lnTo>
                                  <a:pt x="102971" y="617867"/>
                                </a:lnTo>
                                <a:lnTo>
                                  <a:pt x="1729117" y="617867"/>
                                </a:lnTo>
                                <a:lnTo>
                                  <a:pt x="1769201" y="609773"/>
                                </a:lnTo>
                                <a:lnTo>
                                  <a:pt x="1801936" y="587702"/>
                                </a:lnTo>
                                <a:lnTo>
                                  <a:pt x="1824008" y="554966"/>
                                </a:lnTo>
                                <a:lnTo>
                                  <a:pt x="1832102" y="514883"/>
                                </a:lnTo>
                                <a:lnTo>
                                  <a:pt x="1832102" y="102971"/>
                                </a:lnTo>
                                <a:lnTo>
                                  <a:pt x="1824008" y="62895"/>
                                </a:lnTo>
                                <a:lnTo>
                                  <a:pt x="1801936" y="30164"/>
                                </a:lnTo>
                                <a:lnTo>
                                  <a:pt x="1769201" y="8093"/>
                                </a:lnTo>
                                <a:lnTo>
                                  <a:pt x="1729117" y="0"/>
                                </a:lnTo>
                                <a:lnTo>
                                  <a:pt x="102971" y="0"/>
                                </a:lnTo>
                                <a:close/>
                              </a:path>
                            </a:pathLst>
                          </a:custGeom>
                          <a:ln w="8953">
                            <a:solidFill>
                              <a:srgbClr val="000000"/>
                            </a:solidFill>
                            <a:prstDash val="solid"/>
                          </a:ln>
                        </wps:spPr>
                        <wps:bodyPr wrap="square" lIns="0" tIns="0" rIns="0" bIns="0" rtlCol="0">
                          <a:prstTxWarp prst="textNoShape">
                            <a:avLst/>
                          </a:prstTxWarp>
                          <a:noAutofit/>
                        </wps:bodyPr>
                      </wps:wsp>
                      <wps:wsp>
                        <wps:cNvPr id="173" name="Graphic 173"/>
                        <wps:cNvSpPr/>
                        <wps:spPr>
                          <a:xfrm>
                            <a:off x="1908825" y="2465191"/>
                            <a:ext cx="1247775" cy="249554"/>
                          </a:xfrm>
                          <a:custGeom>
                            <a:avLst/>
                            <a:gdLst/>
                            <a:ahLst/>
                            <a:cxnLst/>
                            <a:rect l="l" t="t" r="r" b="b"/>
                            <a:pathLst>
                              <a:path w="1247775" h="249554">
                                <a:moveTo>
                                  <a:pt x="1247673" y="0"/>
                                </a:moveTo>
                                <a:lnTo>
                                  <a:pt x="0" y="0"/>
                                </a:lnTo>
                                <a:lnTo>
                                  <a:pt x="0" y="249529"/>
                                </a:lnTo>
                                <a:lnTo>
                                  <a:pt x="1247673" y="249529"/>
                                </a:lnTo>
                                <a:lnTo>
                                  <a:pt x="1247673" y="0"/>
                                </a:lnTo>
                                <a:close/>
                              </a:path>
                            </a:pathLst>
                          </a:custGeom>
                          <a:solidFill>
                            <a:srgbClr val="FFFFFF"/>
                          </a:solidFill>
                        </wps:spPr>
                        <wps:bodyPr wrap="square" lIns="0" tIns="0" rIns="0" bIns="0" rtlCol="0">
                          <a:prstTxWarp prst="textNoShape">
                            <a:avLst/>
                          </a:prstTxWarp>
                          <a:noAutofit/>
                        </wps:bodyPr>
                      </wps:wsp>
                      <wps:wsp>
                        <wps:cNvPr id="174" name="Graphic 174"/>
                        <wps:cNvSpPr/>
                        <wps:spPr>
                          <a:xfrm>
                            <a:off x="1684958" y="379967"/>
                            <a:ext cx="1591945" cy="839469"/>
                          </a:xfrm>
                          <a:custGeom>
                            <a:avLst/>
                            <a:gdLst/>
                            <a:ahLst/>
                            <a:cxnLst/>
                            <a:rect l="l" t="t" r="r" b="b"/>
                            <a:pathLst>
                              <a:path w="1591945" h="839469">
                                <a:moveTo>
                                  <a:pt x="397878" y="839343"/>
                                </a:moveTo>
                                <a:lnTo>
                                  <a:pt x="397878" y="629513"/>
                                </a:lnTo>
                                <a:lnTo>
                                  <a:pt x="1591525" y="629513"/>
                                </a:lnTo>
                                <a:lnTo>
                                  <a:pt x="1591525" y="209842"/>
                                </a:lnTo>
                                <a:lnTo>
                                  <a:pt x="397878" y="209842"/>
                                </a:lnTo>
                                <a:lnTo>
                                  <a:pt x="397878" y="0"/>
                                </a:lnTo>
                                <a:lnTo>
                                  <a:pt x="0" y="419671"/>
                                </a:lnTo>
                                <a:lnTo>
                                  <a:pt x="397878" y="839343"/>
                                </a:lnTo>
                                <a:close/>
                              </a:path>
                            </a:pathLst>
                          </a:custGeom>
                          <a:ln w="8953">
                            <a:solidFill>
                              <a:srgbClr val="000000"/>
                            </a:solidFill>
                            <a:prstDash val="solid"/>
                          </a:ln>
                        </wps:spPr>
                        <wps:bodyPr wrap="square" lIns="0" tIns="0" rIns="0" bIns="0" rtlCol="0">
                          <a:prstTxWarp prst="textNoShape">
                            <a:avLst/>
                          </a:prstTxWarp>
                          <a:noAutofit/>
                        </wps:bodyPr>
                      </wps:wsp>
                      <wps:wsp>
                        <wps:cNvPr id="175" name="Graphic 175"/>
                        <wps:cNvSpPr/>
                        <wps:spPr>
                          <a:xfrm>
                            <a:off x="1972693" y="584728"/>
                            <a:ext cx="1304290" cy="436245"/>
                          </a:xfrm>
                          <a:custGeom>
                            <a:avLst/>
                            <a:gdLst/>
                            <a:ahLst/>
                            <a:cxnLst/>
                            <a:rect l="l" t="t" r="r" b="b"/>
                            <a:pathLst>
                              <a:path w="1304290" h="436245">
                                <a:moveTo>
                                  <a:pt x="1303781" y="0"/>
                                </a:moveTo>
                                <a:lnTo>
                                  <a:pt x="0" y="0"/>
                                </a:lnTo>
                                <a:lnTo>
                                  <a:pt x="0" y="435787"/>
                                </a:lnTo>
                                <a:lnTo>
                                  <a:pt x="1303781" y="435787"/>
                                </a:lnTo>
                                <a:lnTo>
                                  <a:pt x="1303781" y="0"/>
                                </a:lnTo>
                                <a:close/>
                              </a:path>
                            </a:pathLst>
                          </a:custGeom>
                          <a:solidFill>
                            <a:srgbClr val="FFFFFF"/>
                          </a:solidFill>
                        </wps:spPr>
                        <wps:bodyPr wrap="square" lIns="0" tIns="0" rIns="0" bIns="0" rtlCol="0">
                          <a:prstTxWarp prst="textNoShape">
                            <a:avLst/>
                          </a:prstTxWarp>
                          <a:noAutofit/>
                        </wps:bodyPr>
                      </wps:wsp>
                      <wps:wsp>
                        <wps:cNvPr id="176" name="Graphic 176"/>
                        <wps:cNvSpPr/>
                        <wps:spPr>
                          <a:xfrm>
                            <a:off x="1399603" y="1359598"/>
                            <a:ext cx="1480820" cy="509270"/>
                          </a:xfrm>
                          <a:custGeom>
                            <a:avLst/>
                            <a:gdLst/>
                            <a:ahLst/>
                            <a:cxnLst/>
                            <a:rect l="l" t="t" r="r" b="b"/>
                            <a:pathLst>
                              <a:path w="1480820" h="509270">
                                <a:moveTo>
                                  <a:pt x="538467" y="0"/>
                                </a:moveTo>
                                <a:lnTo>
                                  <a:pt x="0" y="0"/>
                                </a:lnTo>
                                <a:lnTo>
                                  <a:pt x="2003" y="33479"/>
                                </a:lnTo>
                                <a:lnTo>
                                  <a:pt x="17662" y="98635"/>
                                </a:lnTo>
                                <a:lnTo>
                                  <a:pt x="48029" y="160943"/>
                                </a:lnTo>
                                <a:lnTo>
                                  <a:pt x="92111" y="219864"/>
                                </a:lnTo>
                                <a:lnTo>
                                  <a:pt x="118984" y="247887"/>
                                </a:lnTo>
                                <a:lnTo>
                                  <a:pt x="148914" y="274862"/>
                                </a:lnTo>
                                <a:lnTo>
                                  <a:pt x="181777" y="300723"/>
                                </a:lnTo>
                                <a:lnTo>
                                  <a:pt x="217447" y="325401"/>
                                </a:lnTo>
                                <a:lnTo>
                                  <a:pt x="255802" y="348830"/>
                                </a:lnTo>
                                <a:lnTo>
                                  <a:pt x="296716" y="370943"/>
                                </a:lnTo>
                                <a:lnTo>
                                  <a:pt x="340067" y="391673"/>
                                </a:lnTo>
                                <a:lnTo>
                                  <a:pt x="385729" y="410953"/>
                                </a:lnTo>
                                <a:lnTo>
                                  <a:pt x="433579" y="428715"/>
                                </a:lnTo>
                                <a:lnTo>
                                  <a:pt x="483493" y="444892"/>
                                </a:lnTo>
                                <a:lnTo>
                                  <a:pt x="535346" y="459418"/>
                                </a:lnTo>
                                <a:lnTo>
                                  <a:pt x="589014" y="472225"/>
                                </a:lnTo>
                                <a:lnTo>
                                  <a:pt x="644374" y="483247"/>
                                </a:lnTo>
                                <a:lnTo>
                                  <a:pt x="701301" y="492415"/>
                                </a:lnTo>
                                <a:lnTo>
                                  <a:pt x="759672" y="499664"/>
                                </a:lnTo>
                                <a:lnTo>
                                  <a:pt x="819361" y="504925"/>
                                </a:lnTo>
                                <a:lnTo>
                                  <a:pt x="880245" y="508133"/>
                                </a:lnTo>
                                <a:lnTo>
                                  <a:pt x="942200" y="509219"/>
                                </a:lnTo>
                                <a:lnTo>
                                  <a:pt x="1480781" y="509219"/>
                                </a:lnTo>
                                <a:lnTo>
                                  <a:pt x="1418813" y="508135"/>
                                </a:lnTo>
                                <a:lnTo>
                                  <a:pt x="1357917" y="504931"/>
                                </a:lnTo>
                                <a:lnTo>
                                  <a:pt x="1298217" y="499671"/>
                                </a:lnTo>
                                <a:lnTo>
                                  <a:pt x="1239836" y="492424"/>
                                </a:lnTo>
                                <a:lnTo>
                                  <a:pt x="1182900" y="483257"/>
                                </a:lnTo>
                                <a:lnTo>
                                  <a:pt x="1127532" y="472236"/>
                                </a:lnTo>
                                <a:lnTo>
                                  <a:pt x="1073856" y="459429"/>
                                </a:lnTo>
                                <a:lnTo>
                                  <a:pt x="1021996" y="444904"/>
                                </a:lnTo>
                                <a:lnTo>
                                  <a:pt x="972076" y="428726"/>
                                </a:lnTo>
                                <a:lnTo>
                                  <a:pt x="924221" y="410964"/>
                                </a:lnTo>
                                <a:lnTo>
                                  <a:pt x="878554" y="391684"/>
                                </a:lnTo>
                                <a:lnTo>
                                  <a:pt x="835200" y="370953"/>
                                </a:lnTo>
                                <a:lnTo>
                                  <a:pt x="794282" y="348839"/>
                                </a:lnTo>
                                <a:lnTo>
                                  <a:pt x="755924" y="325409"/>
                                </a:lnTo>
                                <a:lnTo>
                                  <a:pt x="720251" y="300730"/>
                                </a:lnTo>
                                <a:lnTo>
                                  <a:pt x="687387" y="274869"/>
                                </a:lnTo>
                                <a:lnTo>
                                  <a:pt x="657455" y="247892"/>
                                </a:lnTo>
                                <a:lnTo>
                                  <a:pt x="630581" y="219868"/>
                                </a:lnTo>
                                <a:lnTo>
                                  <a:pt x="586497" y="160945"/>
                                </a:lnTo>
                                <a:lnTo>
                                  <a:pt x="556130" y="98636"/>
                                </a:lnTo>
                                <a:lnTo>
                                  <a:pt x="540471" y="33479"/>
                                </a:lnTo>
                                <a:lnTo>
                                  <a:pt x="538467" y="0"/>
                                </a:lnTo>
                                <a:close/>
                              </a:path>
                            </a:pathLst>
                          </a:custGeom>
                          <a:solidFill>
                            <a:srgbClr val="D2D3D5"/>
                          </a:solidFill>
                        </wps:spPr>
                        <wps:bodyPr wrap="square" lIns="0" tIns="0" rIns="0" bIns="0" rtlCol="0">
                          <a:prstTxWarp prst="textNoShape">
                            <a:avLst/>
                          </a:prstTxWarp>
                          <a:noAutofit/>
                        </wps:bodyPr>
                      </wps:wsp>
                      <wps:wsp>
                        <wps:cNvPr id="177" name="Graphic 177"/>
                        <wps:cNvSpPr/>
                        <wps:spPr>
                          <a:xfrm>
                            <a:off x="1399603" y="1359598"/>
                            <a:ext cx="2638425" cy="509270"/>
                          </a:xfrm>
                          <a:custGeom>
                            <a:avLst/>
                            <a:gdLst/>
                            <a:ahLst/>
                            <a:cxnLst/>
                            <a:rect l="l" t="t" r="r" b="b"/>
                            <a:pathLst>
                              <a:path w="2638425" h="509270">
                                <a:moveTo>
                                  <a:pt x="0" y="0"/>
                                </a:moveTo>
                                <a:lnTo>
                                  <a:pt x="7932" y="66380"/>
                                </a:lnTo>
                                <a:lnTo>
                                  <a:pt x="31069" y="130179"/>
                                </a:lnTo>
                                <a:lnTo>
                                  <a:pt x="68418" y="190860"/>
                                </a:lnTo>
                                <a:lnTo>
                                  <a:pt x="118984" y="247887"/>
                                </a:lnTo>
                                <a:lnTo>
                                  <a:pt x="148914" y="274862"/>
                                </a:lnTo>
                                <a:lnTo>
                                  <a:pt x="181777" y="300723"/>
                                </a:lnTo>
                                <a:lnTo>
                                  <a:pt x="217447" y="325401"/>
                                </a:lnTo>
                                <a:lnTo>
                                  <a:pt x="255802" y="348830"/>
                                </a:lnTo>
                                <a:lnTo>
                                  <a:pt x="296716" y="370943"/>
                                </a:lnTo>
                                <a:lnTo>
                                  <a:pt x="340067" y="391673"/>
                                </a:lnTo>
                                <a:lnTo>
                                  <a:pt x="385729" y="410953"/>
                                </a:lnTo>
                                <a:lnTo>
                                  <a:pt x="433579" y="428715"/>
                                </a:lnTo>
                                <a:lnTo>
                                  <a:pt x="483493" y="444892"/>
                                </a:lnTo>
                                <a:lnTo>
                                  <a:pt x="535346" y="459418"/>
                                </a:lnTo>
                                <a:lnTo>
                                  <a:pt x="589014" y="472225"/>
                                </a:lnTo>
                                <a:lnTo>
                                  <a:pt x="644374" y="483247"/>
                                </a:lnTo>
                                <a:lnTo>
                                  <a:pt x="701301" y="492415"/>
                                </a:lnTo>
                                <a:lnTo>
                                  <a:pt x="759672" y="499664"/>
                                </a:lnTo>
                                <a:lnTo>
                                  <a:pt x="819361" y="504925"/>
                                </a:lnTo>
                                <a:lnTo>
                                  <a:pt x="880245" y="508133"/>
                                </a:lnTo>
                                <a:lnTo>
                                  <a:pt x="942200" y="509219"/>
                                </a:lnTo>
                                <a:lnTo>
                                  <a:pt x="1480781" y="509219"/>
                                </a:lnTo>
                                <a:lnTo>
                                  <a:pt x="1540322" y="508204"/>
                                </a:lnTo>
                                <a:lnTo>
                                  <a:pt x="1599079" y="505200"/>
                                </a:lnTo>
                                <a:lnTo>
                                  <a:pt x="1656917" y="500260"/>
                                </a:lnTo>
                                <a:lnTo>
                                  <a:pt x="1713702" y="493434"/>
                                </a:lnTo>
                                <a:lnTo>
                                  <a:pt x="1769300" y="484775"/>
                                </a:lnTo>
                                <a:lnTo>
                                  <a:pt x="1823575" y="474332"/>
                                </a:lnTo>
                                <a:lnTo>
                                  <a:pt x="1876393" y="462159"/>
                                </a:lnTo>
                                <a:lnTo>
                                  <a:pt x="1927618" y="448305"/>
                                </a:lnTo>
                                <a:lnTo>
                                  <a:pt x="1977118" y="432823"/>
                                </a:lnTo>
                                <a:lnTo>
                                  <a:pt x="2024756" y="415764"/>
                                </a:lnTo>
                                <a:lnTo>
                                  <a:pt x="2070398" y="397180"/>
                                </a:lnTo>
                                <a:lnTo>
                                  <a:pt x="2113909" y="377121"/>
                                </a:lnTo>
                                <a:lnTo>
                                  <a:pt x="2155155" y="355639"/>
                                </a:lnTo>
                                <a:lnTo>
                                  <a:pt x="2194001" y="332786"/>
                                </a:lnTo>
                                <a:lnTo>
                                  <a:pt x="2230313" y="308613"/>
                                </a:lnTo>
                                <a:lnTo>
                                  <a:pt x="2263954" y="283172"/>
                                </a:lnTo>
                                <a:lnTo>
                                  <a:pt x="2294792" y="256513"/>
                                </a:lnTo>
                                <a:lnTo>
                                  <a:pt x="2322691" y="228688"/>
                                </a:lnTo>
                                <a:lnTo>
                                  <a:pt x="2347516" y="199750"/>
                                </a:lnTo>
                                <a:lnTo>
                                  <a:pt x="2369134" y="169748"/>
                                </a:lnTo>
                                <a:lnTo>
                                  <a:pt x="2638374" y="169748"/>
                                </a:lnTo>
                                <a:lnTo>
                                  <a:pt x="2153869" y="0"/>
                                </a:lnTo>
                                <a:lnTo>
                                  <a:pt x="1561439" y="169748"/>
                                </a:lnTo>
                                <a:lnTo>
                                  <a:pt x="1830666" y="169748"/>
                                </a:lnTo>
                                <a:lnTo>
                                  <a:pt x="1807179" y="202076"/>
                                </a:lnTo>
                                <a:lnTo>
                                  <a:pt x="1779879" y="233249"/>
                                </a:lnTo>
                                <a:lnTo>
                                  <a:pt x="1748922" y="263184"/>
                                </a:lnTo>
                                <a:lnTo>
                                  <a:pt x="1714464" y="291803"/>
                                </a:lnTo>
                                <a:lnTo>
                                  <a:pt x="1676660" y="319025"/>
                                </a:lnTo>
                                <a:lnTo>
                                  <a:pt x="1635666" y="344771"/>
                                </a:lnTo>
                                <a:lnTo>
                                  <a:pt x="1591638" y="368960"/>
                                </a:lnTo>
                                <a:lnTo>
                                  <a:pt x="1544731" y="391512"/>
                                </a:lnTo>
                                <a:lnTo>
                                  <a:pt x="1495101" y="412347"/>
                                </a:lnTo>
                                <a:lnTo>
                                  <a:pt x="1442904" y="431386"/>
                                </a:lnTo>
                                <a:lnTo>
                                  <a:pt x="1388295" y="448548"/>
                                </a:lnTo>
                                <a:lnTo>
                                  <a:pt x="1331430" y="463753"/>
                                </a:lnTo>
                                <a:lnTo>
                                  <a:pt x="1272464" y="476921"/>
                                </a:lnTo>
                                <a:lnTo>
                                  <a:pt x="1211554" y="487972"/>
                                </a:lnTo>
                                <a:lnTo>
                                  <a:pt x="1149454" y="476714"/>
                                </a:lnTo>
                                <a:lnTo>
                                  <a:pt x="1089697" y="463321"/>
                                </a:lnTo>
                                <a:lnTo>
                                  <a:pt x="1032286" y="447888"/>
                                </a:lnTo>
                                <a:lnTo>
                                  <a:pt x="977349" y="430507"/>
                                </a:lnTo>
                                <a:lnTo>
                                  <a:pt x="925017" y="411273"/>
                                </a:lnTo>
                                <a:lnTo>
                                  <a:pt x="875420" y="390279"/>
                                </a:lnTo>
                                <a:lnTo>
                                  <a:pt x="828686" y="367620"/>
                                </a:lnTo>
                                <a:lnTo>
                                  <a:pt x="784946" y="343389"/>
                                </a:lnTo>
                                <a:lnTo>
                                  <a:pt x="744330" y="317681"/>
                                </a:lnTo>
                                <a:lnTo>
                                  <a:pt x="706966" y="290590"/>
                                </a:lnTo>
                                <a:lnTo>
                                  <a:pt x="672985" y="262208"/>
                                </a:lnTo>
                                <a:lnTo>
                                  <a:pt x="642516" y="232631"/>
                                </a:lnTo>
                                <a:lnTo>
                                  <a:pt x="615689" y="201952"/>
                                </a:lnTo>
                                <a:lnTo>
                                  <a:pt x="592633" y="170265"/>
                                </a:lnTo>
                                <a:lnTo>
                                  <a:pt x="558356" y="104243"/>
                                </a:lnTo>
                                <a:lnTo>
                                  <a:pt x="540720" y="35317"/>
                                </a:lnTo>
                                <a:lnTo>
                                  <a:pt x="538467" y="0"/>
                                </a:lnTo>
                                <a:lnTo>
                                  <a:pt x="0" y="0"/>
                                </a:lnTo>
                                <a:close/>
                              </a:path>
                            </a:pathLst>
                          </a:custGeom>
                          <a:ln w="8953">
                            <a:solidFill>
                              <a:srgbClr val="000000"/>
                            </a:solidFill>
                            <a:prstDash val="solid"/>
                          </a:ln>
                        </wps:spPr>
                        <wps:bodyPr wrap="square" lIns="0" tIns="0" rIns="0" bIns="0" rtlCol="0">
                          <a:prstTxWarp prst="textNoShape">
                            <a:avLst/>
                          </a:prstTxWarp>
                          <a:noAutofit/>
                        </wps:bodyPr>
                      </wps:wsp>
                      <wps:wsp>
                        <wps:cNvPr id="178" name="Graphic 178"/>
                        <wps:cNvSpPr/>
                        <wps:spPr>
                          <a:xfrm>
                            <a:off x="685027" y="1358996"/>
                            <a:ext cx="2694940" cy="1326515"/>
                          </a:xfrm>
                          <a:custGeom>
                            <a:avLst/>
                            <a:gdLst/>
                            <a:ahLst/>
                            <a:cxnLst/>
                            <a:rect l="l" t="t" r="r" b="b"/>
                            <a:pathLst>
                              <a:path w="2694940" h="1326515">
                                <a:moveTo>
                                  <a:pt x="953960" y="953160"/>
                                </a:moveTo>
                                <a:lnTo>
                                  <a:pt x="668032" y="579856"/>
                                </a:lnTo>
                                <a:lnTo>
                                  <a:pt x="668032" y="758685"/>
                                </a:lnTo>
                                <a:lnTo>
                                  <a:pt x="548830" y="758685"/>
                                </a:lnTo>
                                <a:lnTo>
                                  <a:pt x="495833" y="755053"/>
                                </a:lnTo>
                                <a:lnTo>
                                  <a:pt x="446493" y="744626"/>
                                </a:lnTo>
                                <a:lnTo>
                                  <a:pt x="401828" y="728141"/>
                                </a:lnTo>
                                <a:lnTo>
                                  <a:pt x="362927" y="706297"/>
                                </a:lnTo>
                                <a:lnTo>
                                  <a:pt x="330822" y="679831"/>
                                </a:lnTo>
                                <a:lnTo>
                                  <a:pt x="306578" y="649452"/>
                                </a:lnTo>
                                <a:lnTo>
                                  <a:pt x="285927" y="579856"/>
                                </a:lnTo>
                                <a:lnTo>
                                  <a:pt x="285927" y="0"/>
                                </a:lnTo>
                                <a:lnTo>
                                  <a:pt x="0" y="0"/>
                                </a:lnTo>
                                <a:lnTo>
                                  <a:pt x="0" y="579856"/>
                                </a:lnTo>
                                <a:lnTo>
                                  <a:pt x="2006" y="628853"/>
                                </a:lnTo>
                                <a:lnTo>
                                  <a:pt x="7937" y="676681"/>
                                </a:lnTo>
                                <a:lnTo>
                                  <a:pt x="17627" y="723176"/>
                                </a:lnTo>
                                <a:lnTo>
                                  <a:pt x="30911" y="768184"/>
                                </a:lnTo>
                                <a:lnTo>
                                  <a:pt x="47612" y="811530"/>
                                </a:lnTo>
                                <a:lnTo>
                                  <a:pt x="67576" y="853020"/>
                                </a:lnTo>
                                <a:lnTo>
                                  <a:pt x="90639" y="892517"/>
                                </a:lnTo>
                                <a:lnTo>
                                  <a:pt x="116624" y="929830"/>
                                </a:lnTo>
                                <a:lnTo>
                                  <a:pt x="145376" y="964780"/>
                                </a:lnTo>
                                <a:lnTo>
                                  <a:pt x="176745" y="997229"/>
                                </a:lnTo>
                                <a:lnTo>
                                  <a:pt x="210540" y="1026972"/>
                                </a:lnTo>
                                <a:lnTo>
                                  <a:pt x="246595" y="1053858"/>
                                </a:lnTo>
                                <a:lnTo>
                                  <a:pt x="284772" y="1077722"/>
                                </a:lnTo>
                                <a:lnTo>
                                  <a:pt x="324891" y="1098372"/>
                                </a:lnTo>
                                <a:lnTo>
                                  <a:pt x="366776" y="1115656"/>
                                </a:lnTo>
                                <a:lnTo>
                                  <a:pt x="410286" y="1129398"/>
                                </a:lnTo>
                                <a:lnTo>
                                  <a:pt x="455231" y="1139418"/>
                                </a:lnTo>
                                <a:lnTo>
                                  <a:pt x="501472" y="1145552"/>
                                </a:lnTo>
                                <a:lnTo>
                                  <a:pt x="548830" y="1147635"/>
                                </a:lnTo>
                                <a:lnTo>
                                  <a:pt x="668032" y="1147635"/>
                                </a:lnTo>
                                <a:lnTo>
                                  <a:pt x="668032" y="1326464"/>
                                </a:lnTo>
                                <a:lnTo>
                                  <a:pt x="953960" y="953160"/>
                                </a:lnTo>
                                <a:close/>
                              </a:path>
                              <a:path w="2694940" h="1326515">
                                <a:moveTo>
                                  <a:pt x="2694724" y="272224"/>
                                </a:moveTo>
                                <a:lnTo>
                                  <a:pt x="1199311" y="272224"/>
                                </a:lnTo>
                                <a:lnTo>
                                  <a:pt x="1199311" y="564146"/>
                                </a:lnTo>
                                <a:lnTo>
                                  <a:pt x="2694724" y="564146"/>
                                </a:lnTo>
                                <a:lnTo>
                                  <a:pt x="2694724" y="272224"/>
                                </a:lnTo>
                                <a:close/>
                              </a:path>
                            </a:pathLst>
                          </a:custGeom>
                          <a:solidFill>
                            <a:srgbClr val="FFFFFF"/>
                          </a:solidFill>
                        </wps:spPr>
                        <wps:bodyPr wrap="square" lIns="0" tIns="0" rIns="0" bIns="0" rtlCol="0">
                          <a:prstTxWarp prst="textNoShape">
                            <a:avLst/>
                          </a:prstTxWarp>
                          <a:noAutofit/>
                        </wps:bodyPr>
                      </wps:wsp>
                      <wps:wsp>
                        <wps:cNvPr id="179" name="Graphic 179"/>
                        <wps:cNvSpPr/>
                        <wps:spPr>
                          <a:xfrm>
                            <a:off x="685027" y="1358995"/>
                            <a:ext cx="954405" cy="1326515"/>
                          </a:xfrm>
                          <a:custGeom>
                            <a:avLst/>
                            <a:gdLst/>
                            <a:ahLst/>
                            <a:cxnLst/>
                            <a:rect l="l" t="t" r="r" b="b"/>
                            <a:pathLst>
                              <a:path w="954405" h="1326515">
                                <a:moveTo>
                                  <a:pt x="953960" y="953160"/>
                                </a:moveTo>
                                <a:lnTo>
                                  <a:pt x="668032" y="1326464"/>
                                </a:lnTo>
                                <a:lnTo>
                                  <a:pt x="668032" y="1147635"/>
                                </a:lnTo>
                                <a:lnTo>
                                  <a:pt x="548830" y="1147635"/>
                                </a:lnTo>
                                <a:lnTo>
                                  <a:pt x="501477" y="1145551"/>
                                </a:lnTo>
                                <a:lnTo>
                                  <a:pt x="455241" y="1139412"/>
                                </a:lnTo>
                                <a:lnTo>
                                  <a:pt x="410289" y="1129388"/>
                                </a:lnTo>
                                <a:lnTo>
                                  <a:pt x="366785" y="1115650"/>
                                </a:lnTo>
                                <a:lnTo>
                                  <a:pt x="324893" y="1098369"/>
                                </a:lnTo>
                                <a:lnTo>
                                  <a:pt x="284778" y="1077716"/>
                                </a:lnTo>
                                <a:lnTo>
                                  <a:pt x="246606" y="1053859"/>
                                </a:lnTo>
                                <a:lnTo>
                                  <a:pt x="210540" y="1026971"/>
                                </a:lnTo>
                                <a:lnTo>
                                  <a:pt x="176747" y="997221"/>
                                </a:lnTo>
                                <a:lnTo>
                                  <a:pt x="145389" y="964781"/>
                                </a:lnTo>
                                <a:lnTo>
                                  <a:pt x="116633" y="929820"/>
                                </a:lnTo>
                                <a:lnTo>
                                  <a:pt x="90643" y="892509"/>
                                </a:lnTo>
                                <a:lnTo>
                                  <a:pt x="67583" y="853019"/>
                                </a:lnTo>
                                <a:lnTo>
                                  <a:pt x="47619" y="811519"/>
                                </a:lnTo>
                                <a:lnTo>
                                  <a:pt x="30915" y="768182"/>
                                </a:lnTo>
                                <a:lnTo>
                                  <a:pt x="17637" y="723176"/>
                                </a:lnTo>
                                <a:lnTo>
                                  <a:pt x="7948" y="676673"/>
                                </a:lnTo>
                                <a:lnTo>
                                  <a:pt x="2014" y="628843"/>
                                </a:lnTo>
                                <a:lnTo>
                                  <a:pt x="0" y="579856"/>
                                </a:lnTo>
                                <a:lnTo>
                                  <a:pt x="0" y="0"/>
                                </a:lnTo>
                                <a:lnTo>
                                  <a:pt x="285927" y="0"/>
                                </a:lnTo>
                                <a:lnTo>
                                  <a:pt x="285927" y="579856"/>
                                </a:lnTo>
                                <a:lnTo>
                                  <a:pt x="291268" y="615886"/>
                                </a:lnTo>
                                <a:lnTo>
                                  <a:pt x="330826" y="679826"/>
                                </a:lnTo>
                                <a:lnTo>
                                  <a:pt x="362929" y="706294"/>
                                </a:lnTo>
                                <a:lnTo>
                                  <a:pt x="401838" y="728135"/>
                                </a:lnTo>
                                <a:lnTo>
                                  <a:pt x="446496" y="744627"/>
                                </a:lnTo>
                                <a:lnTo>
                                  <a:pt x="495845" y="755050"/>
                                </a:lnTo>
                                <a:lnTo>
                                  <a:pt x="548830" y="758685"/>
                                </a:lnTo>
                                <a:lnTo>
                                  <a:pt x="668032" y="758685"/>
                                </a:lnTo>
                                <a:lnTo>
                                  <a:pt x="668032" y="579856"/>
                                </a:lnTo>
                                <a:lnTo>
                                  <a:pt x="953960" y="953160"/>
                                </a:lnTo>
                                <a:close/>
                              </a:path>
                            </a:pathLst>
                          </a:custGeom>
                          <a:ln w="8953">
                            <a:solidFill>
                              <a:srgbClr val="000000"/>
                            </a:solidFill>
                            <a:prstDash val="solid"/>
                          </a:ln>
                        </wps:spPr>
                        <wps:bodyPr wrap="square" lIns="0" tIns="0" rIns="0" bIns="0" rtlCol="0">
                          <a:prstTxWarp prst="textNoShape">
                            <a:avLst/>
                          </a:prstTxWarp>
                          <a:noAutofit/>
                        </wps:bodyPr>
                      </wps:wsp>
                      <wps:wsp>
                        <wps:cNvPr id="180" name="Graphic 180"/>
                        <wps:cNvSpPr/>
                        <wps:spPr>
                          <a:xfrm>
                            <a:off x="4475789" y="1311243"/>
                            <a:ext cx="1136015" cy="1464945"/>
                          </a:xfrm>
                          <a:custGeom>
                            <a:avLst/>
                            <a:gdLst/>
                            <a:ahLst/>
                            <a:cxnLst/>
                            <a:rect l="l" t="t" r="r" b="b"/>
                            <a:pathLst>
                              <a:path w="1136015" h="1464945">
                                <a:moveTo>
                                  <a:pt x="815886" y="0"/>
                                </a:moveTo>
                                <a:lnTo>
                                  <a:pt x="496341" y="438899"/>
                                </a:lnTo>
                                <a:lnTo>
                                  <a:pt x="649401" y="438899"/>
                                </a:lnTo>
                                <a:lnTo>
                                  <a:pt x="649401" y="621893"/>
                                </a:lnTo>
                                <a:lnTo>
                                  <a:pt x="647398" y="687357"/>
                                </a:lnTo>
                                <a:lnTo>
                                  <a:pt x="641597" y="749457"/>
                                </a:lnTo>
                                <a:lnTo>
                                  <a:pt x="632314" y="807362"/>
                                </a:lnTo>
                                <a:lnTo>
                                  <a:pt x="619865" y="860241"/>
                                </a:lnTo>
                                <a:lnTo>
                                  <a:pt x="604566" y="907264"/>
                                </a:lnTo>
                                <a:lnTo>
                                  <a:pt x="586730" y="947600"/>
                                </a:lnTo>
                                <a:lnTo>
                                  <a:pt x="566675" y="980418"/>
                                </a:lnTo>
                                <a:lnTo>
                                  <a:pt x="521165" y="1020179"/>
                                </a:lnTo>
                                <a:lnTo>
                                  <a:pt x="496341" y="1025461"/>
                                </a:lnTo>
                                <a:lnTo>
                                  <a:pt x="0" y="1025461"/>
                                </a:lnTo>
                                <a:lnTo>
                                  <a:pt x="0" y="1464373"/>
                                </a:lnTo>
                                <a:lnTo>
                                  <a:pt x="496341" y="1464373"/>
                                </a:lnTo>
                                <a:lnTo>
                                  <a:pt x="531048" y="1462258"/>
                                </a:lnTo>
                                <a:lnTo>
                                  <a:pt x="598406" y="1445762"/>
                                </a:lnTo>
                                <a:lnTo>
                                  <a:pt x="662473" y="1413863"/>
                                </a:lnTo>
                                <a:lnTo>
                                  <a:pt x="722590" y="1367703"/>
                                </a:lnTo>
                                <a:lnTo>
                                  <a:pt x="750962" y="1339631"/>
                                </a:lnTo>
                                <a:lnTo>
                                  <a:pt x="778100" y="1308422"/>
                                </a:lnTo>
                                <a:lnTo>
                                  <a:pt x="803922" y="1274218"/>
                                </a:lnTo>
                                <a:lnTo>
                                  <a:pt x="828345" y="1237161"/>
                                </a:lnTo>
                                <a:lnTo>
                                  <a:pt x="851287" y="1197394"/>
                                </a:lnTo>
                                <a:lnTo>
                                  <a:pt x="872665" y="1155060"/>
                                </a:lnTo>
                                <a:lnTo>
                                  <a:pt x="892398" y="1110301"/>
                                </a:lnTo>
                                <a:lnTo>
                                  <a:pt x="910404" y="1063261"/>
                                </a:lnTo>
                                <a:lnTo>
                                  <a:pt x="926599" y="1014081"/>
                                </a:lnTo>
                                <a:lnTo>
                                  <a:pt x="940902" y="962904"/>
                                </a:lnTo>
                                <a:lnTo>
                                  <a:pt x="953230" y="909872"/>
                                </a:lnTo>
                                <a:lnTo>
                                  <a:pt x="963501" y="855129"/>
                                </a:lnTo>
                                <a:lnTo>
                                  <a:pt x="971633" y="798817"/>
                                </a:lnTo>
                                <a:lnTo>
                                  <a:pt x="977543" y="741079"/>
                                </a:lnTo>
                                <a:lnTo>
                                  <a:pt x="981149" y="682057"/>
                                </a:lnTo>
                                <a:lnTo>
                                  <a:pt x="982370" y="621893"/>
                                </a:lnTo>
                                <a:lnTo>
                                  <a:pt x="982370" y="438899"/>
                                </a:lnTo>
                                <a:lnTo>
                                  <a:pt x="1135443" y="438899"/>
                                </a:lnTo>
                                <a:lnTo>
                                  <a:pt x="815886" y="0"/>
                                </a:lnTo>
                                <a:close/>
                              </a:path>
                            </a:pathLst>
                          </a:custGeom>
                          <a:solidFill>
                            <a:srgbClr val="FFFFFF"/>
                          </a:solidFill>
                        </wps:spPr>
                        <wps:bodyPr wrap="square" lIns="0" tIns="0" rIns="0" bIns="0" rtlCol="0">
                          <a:prstTxWarp prst="textNoShape">
                            <a:avLst/>
                          </a:prstTxWarp>
                          <a:noAutofit/>
                        </wps:bodyPr>
                      </wps:wsp>
                      <wps:wsp>
                        <wps:cNvPr id="181" name="Graphic 181"/>
                        <wps:cNvSpPr/>
                        <wps:spPr>
                          <a:xfrm>
                            <a:off x="4475789" y="1311243"/>
                            <a:ext cx="1136015" cy="1464945"/>
                          </a:xfrm>
                          <a:custGeom>
                            <a:avLst/>
                            <a:gdLst/>
                            <a:ahLst/>
                            <a:cxnLst/>
                            <a:rect l="l" t="t" r="r" b="b"/>
                            <a:pathLst>
                              <a:path w="1136015" h="1464945">
                                <a:moveTo>
                                  <a:pt x="815886" y="0"/>
                                </a:moveTo>
                                <a:lnTo>
                                  <a:pt x="1135443" y="438899"/>
                                </a:lnTo>
                                <a:lnTo>
                                  <a:pt x="982370" y="438899"/>
                                </a:lnTo>
                                <a:lnTo>
                                  <a:pt x="982370" y="621893"/>
                                </a:lnTo>
                                <a:lnTo>
                                  <a:pt x="981149" y="682057"/>
                                </a:lnTo>
                                <a:lnTo>
                                  <a:pt x="977543" y="741079"/>
                                </a:lnTo>
                                <a:lnTo>
                                  <a:pt x="971633" y="798817"/>
                                </a:lnTo>
                                <a:lnTo>
                                  <a:pt x="963501" y="855129"/>
                                </a:lnTo>
                                <a:lnTo>
                                  <a:pt x="953230" y="909872"/>
                                </a:lnTo>
                                <a:lnTo>
                                  <a:pt x="940902" y="962904"/>
                                </a:lnTo>
                                <a:lnTo>
                                  <a:pt x="926599" y="1014081"/>
                                </a:lnTo>
                                <a:lnTo>
                                  <a:pt x="910404" y="1063261"/>
                                </a:lnTo>
                                <a:lnTo>
                                  <a:pt x="892398" y="1110301"/>
                                </a:lnTo>
                                <a:lnTo>
                                  <a:pt x="872665" y="1155060"/>
                                </a:lnTo>
                                <a:lnTo>
                                  <a:pt x="851287" y="1197394"/>
                                </a:lnTo>
                                <a:lnTo>
                                  <a:pt x="828345" y="1237161"/>
                                </a:lnTo>
                                <a:lnTo>
                                  <a:pt x="803922" y="1274218"/>
                                </a:lnTo>
                                <a:lnTo>
                                  <a:pt x="778100" y="1308422"/>
                                </a:lnTo>
                                <a:lnTo>
                                  <a:pt x="750962" y="1339631"/>
                                </a:lnTo>
                                <a:lnTo>
                                  <a:pt x="722590" y="1367703"/>
                                </a:lnTo>
                                <a:lnTo>
                                  <a:pt x="693066" y="1392495"/>
                                </a:lnTo>
                                <a:lnTo>
                                  <a:pt x="630892" y="1431667"/>
                                </a:lnTo>
                                <a:lnTo>
                                  <a:pt x="565097" y="1456006"/>
                                </a:lnTo>
                                <a:lnTo>
                                  <a:pt x="496341" y="1464373"/>
                                </a:lnTo>
                                <a:lnTo>
                                  <a:pt x="0" y="1464373"/>
                                </a:lnTo>
                                <a:lnTo>
                                  <a:pt x="0" y="1025461"/>
                                </a:lnTo>
                                <a:lnTo>
                                  <a:pt x="496341" y="1025461"/>
                                </a:lnTo>
                                <a:lnTo>
                                  <a:pt x="521165" y="1020179"/>
                                </a:lnTo>
                                <a:lnTo>
                                  <a:pt x="566675" y="980418"/>
                                </a:lnTo>
                                <a:lnTo>
                                  <a:pt x="586730" y="947600"/>
                                </a:lnTo>
                                <a:lnTo>
                                  <a:pt x="604566" y="907264"/>
                                </a:lnTo>
                                <a:lnTo>
                                  <a:pt x="619865" y="860241"/>
                                </a:lnTo>
                                <a:lnTo>
                                  <a:pt x="632314" y="807362"/>
                                </a:lnTo>
                                <a:lnTo>
                                  <a:pt x="641597" y="749457"/>
                                </a:lnTo>
                                <a:lnTo>
                                  <a:pt x="647398" y="687357"/>
                                </a:lnTo>
                                <a:lnTo>
                                  <a:pt x="649401" y="621893"/>
                                </a:lnTo>
                                <a:lnTo>
                                  <a:pt x="649401" y="438899"/>
                                </a:lnTo>
                                <a:lnTo>
                                  <a:pt x="496341" y="438899"/>
                                </a:lnTo>
                                <a:lnTo>
                                  <a:pt x="815886" y="0"/>
                                </a:lnTo>
                                <a:close/>
                              </a:path>
                            </a:pathLst>
                          </a:custGeom>
                          <a:ln w="8953">
                            <a:solidFill>
                              <a:srgbClr val="000000"/>
                            </a:solidFill>
                            <a:prstDash val="solid"/>
                          </a:ln>
                        </wps:spPr>
                        <wps:bodyPr wrap="square" lIns="0" tIns="0" rIns="0" bIns="0" rtlCol="0">
                          <a:prstTxWarp prst="textNoShape">
                            <a:avLst/>
                          </a:prstTxWarp>
                          <a:noAutofit/>
                        </wps:bodyPr>
                      </wps:wsp>
                      <wps:wsp>
                        <wps:cNvPr id="182" name="Graphic 182"/>
                        <wps:cNvSpPr/>
                        <wps:spPr>
                          <a:xfrm>
                            <a:off x="68950" y="68955"/>
                            <a:ext cx="3707129" cy="1854200"/>
                          </a:xfrm>
                          <a:custGeom>
                            <a:avLst/>
                            <a:gdLst/>
                            <a:ahLst/>
                            <a:cxnLst/>
                            <a:rect l="l" t="t" r="r" b="b"/>
                            <a:pathLst>
                              <a:path w="3707129" h="1854200">
                                <a:moveTo>
                                  <a:pt x="1495412" y="1562265"/>
                                </a:moveTo>
                                <a:lnTo>
                                  <a:pt x="0" y="1562265"/>
                                </a:lnTo>
                                <a:lnTo>
                                  <a:pt x="0" y="1854187"/>
                                </a:lnTo>
                                <a:lnTo>
                                  <a:pt x="1495412" y="1854187"/>
                                </a:lnTo>
                                <a:lnTo>
                                  <a:pt x="1495412" y="1562265"/>
                                </a:lnTo>
                                <a:close/>
                              </a:path>
                              <a:path w="3707129" h="1854200">
                                <a:moveTo>
                                  <a:pt x="3706584" y="463842"/>
                                </a:moveTo>
                                <a:lnTo>
                                  <a:pt x="3698519" y="403377"/>
                                </a:lnTo>
                                <a:lnTo>
                                  <a:pt x="3674999" y="345249"/>
                                </a:lnTo>
                                <a:lnTo>
                                  <a:pt x="3637013" y="289979"/>
                                </a:lnTo>
                                <a:lnTo>
                                  <a:pt x="3585591" y="238023"/>
                                </a:lnTo>
                                <a:lnTo>
                                  <a:pt x="3555161" y="213461"/>
                                </a:lnTo>
                                <a:lnTo>
                                  <a:pt x="3521748" y="189903"/>
                                </a:lnTo>
                                <a:lnTo>
                                  <a:pt x="3485477" y="167424"/>
                                </a:lnTo>
                                <a:lnTo>
                                  <a:pt x="3446475" y="146075"/>
                                </a:lnTo>
                                <a:lnTo>
                                  <a:pt x="3404870" y="125933"/>
                                </a:lnTo>
                                <a:lnTo>
                                  <a:pt x="3360788" y="107061"/>
                                </a:lnTo>
                                <a:lnTo>
                                  <a:pt x="3314357" y="89496"/>
                                </a:lnTo>
                                <a:lnTo>
                                  <a:pt x="3265703" y="73317"/>
                                </a:lnTo>
                                <a:lnTo>
                                  <a:pt x="3214941" y="58585"/>
                                </a:lnTo>
                                <a:lnTo>
                                  <a:pt x="3162223" y="45351"/>
                                </a:lnTo>
                                <a:lnTo>
                                  <a:pt x="3107652" y="33680"/>
                                </a:lnTo>
                                <a:lnTo>
                                  <a:pt x="3051352" y="23647"/>
                                </a:lnTo>
                                <a:lnTo>
                                  <a:pt x="2993466" y="15303"/>
                                </a:lnTo>
                                <a:lnTo>
                                  <a:pt x="2934119" y="8699"/>
                                </a:lnTo>
                                <a:lnTo>
                                  <a:pt x="2873425" y="3911"/>
                                </a:lnTo>
                                <a:lnTo>
                                  <a:pt x="2811526" y="990"/>
                                </a:lnTo>
                                <a:lnTo>
                                  <a:pt x="2748521" y="0"/>
                                </a:lnTo>
                                <a:lnTo>
                                  <a:pt x="2200973" y="0"/>
                                </a:lnTo>
                                <a:lnTo>
                                  <a:pt x="2140420" y="927"/>
                                </a:lnTo>
                                <a:lnTo>
                                  <a:pt x="2080653" y="3657"/>
                                </a:lnTo>
                                <a:lnTo>
                                  <a:pt x="2021827" y="8153"/>
                                </a:lnTo>
                                <a:lnTo>
                                  <a:pt x="1964080" y="14363"/>
                                </a:lnTo>
                                <a:lnTo>
                                  <a:pt x="1907527" y="22250"/>
                                </a:lnTo>
                                <a:lnTo>
                                  <a:pt x="1852333" y="31762"/>
                                </a:lnTo>
                                <a:lnTo>
                                  <a:pt x="1798612" y="42849"/>
                                </a:lnTo>
                                <a:lnTo>
                                  <a:pt x="1746516" y="55473"/>
                                </a:lnTo>
                                <a:lnTo>
                                  <a:pt x="1696173" y="69570"/>
                                </a:lnTo>
                                <a:lnTo>
                                  <a:pt x="1647736" y="85102"/>
                                </a:lnTo>
                                <a:lnTo>
                                  <a:pt x="1601317" y="102031"/>
                                </a:lnTo>
                                <a:lnTo>
                                  <a:pt x="1557070" y="120307"/>
                                </a:lnTo>
                                <a:lnTo>
                                  <a:pt x="1515122" y="139877"/>
                                </a:lnTo>
                                <a:lnTo>
                                  <a:pt x="1475625" y="160693"/>
                                </a:lnTo>
                                <a:lnTo>
                                  <a:pt x="1438694" y="182714"/>
                                </a:lnTo>
                                <a:lnTo>
                                  <a:pt x="1404493" y="205879"/>
                                </a:lnTo>
                                <a:lnTo>
                                  <a:pt x="1373136" y="230174"/>
                                </a:lnTo>
                                <a:lnTo>
                                  <a:pt x="1319517" y="281876"/>
                                </a:lnTo>
                                <a:lnTo>
                                  <a:pt x="1297533" y="309206"/>
                                </a:lnTo>
                                <a:lnTo>
                                  <a:pt x="1023759" y="309232"/>
                                </a:lnTo>
                                <a:lnTo>
                                  <a:pt x="1516418" y="463842"/>
                                </a:lnTo>
                                <a:lnTo>
                                  <a:pt x="2118842" y="309232"/>
                                </a:lnTo>
                                <a:lnTo>
                                  <a:pt x="1845068" y="309206"/>
                                </a:lnTo>
                                <a:lnTo>
                                  <a:pt x="1868957" y="279755"/>
                                </a:lnTo>
                                <a:lnTo>
                                  <a:pt x="1896719" y="251358"/>
                                </a:lnTo>
                                <a:lnTo>
                                  <a:pt x="1928190" y="224091"/>
                                </a:lnTo>
                                <a:lnTo>
                                  <a:pt x="1963229" y="198018"/>
                                </a:lnTo>
                                <a:lnTo>
                                  <a:pt x="2001672" y="173228"/>
                                </a:lnTo>
                                <a:lnTo>
                                  <a:pt x="2043353" y="149771"/>
                                </a:lnTo>
                                <a:lnTo>
                                  <a:pt x="2088121" y="127736"/>
                                </a:lnTo>
                                <a:lnTo>
                                  <a:pt x="2135822" y="107188"/>
                                </a:lnTo>
                                <a:lnTo>
                                  <a:pt x="2186292" y="88214"/>
                                </a:lnTo>
                                <a:lnTo>
                                  <a:pt x="2239365" y="70866"/>
                                </a:lnTo>
                                <a:lnTo>
                                  <a:pt x="2294902" y="55245"/>
                                </a:lnTo>
                                <a:lnTo>
                                  <a:pt x="2352725" y="41389"/>
                                </a:lnTo>
                                <a:lnTo>
                                  <a:pt x="2412682" y="29400"/>
                                </a:lnTo>
                                <a:lnTo>
                                  <a:pt x="2474747" y="19329"/>
                                </a:lnTo>
                                <a:lnTo>
                                  <a:pt x="2537764" y="29591"/>
                                </a:lnTo>
                                <a:lnTo>
                                  <a:pt x="2598534" y="41783"/>
                                </a:lnTo>
                                <a:lnTo>
                                  <a:pt x="2656916" y="55841"/>
                                </a:lnTo>
                                <a:lnTo>
                                  <a:pt x="2712770" y="71678"/>
                                </a:lnTo>
                                <a:lnTo>
                                  <a:pt x="2765996" y="89192"/>
                                </a:lnTo>
                                <a:lnTo>
                                  <a:pt x="2816428" y="108318"/>
                                </a:lnTo>
                                <a:lnTo>
                                  <a:pt x="2863939" y="128955"/>
                                </a:lnTo>
                                <a:lnTo>
                                  <a:pt x="2908427" y="151028"/>
                                </a:lnTo>
                                <a:lnTo>
                                  <a:pt x="2949727" y="174447"/>
                                </a:lnTo>
                                <a:lnTo>
                                  <a:pt x="2987713" y="199123"/>
                                </a:lnTo>
                                <a:lnTo>
                                  <a:pt x="3022269" y="224980"/>
                                </a:lnTo>
                                <a:lnTo>
                                  <a:pt x="3053257" y="251917"/>
                                </a:lnTo>
                                <a:lnTo>
                                  <a:pt x="3080524" y="279857"/>
                                </a:lnTo>
                                <a:lnTo>
                                  <a:pt x="3123450" y="338416"/>
                                </a:lnTo>
                                <a:lnTo>
                                  <a:pt x="3149981" y="399973"/>
                                </a:lnTo>
                                <a:lnTo>
                                  <a:pt x="3159048" y="463816"/>
                                </a:lnTo>
                                <a:lnTo>
                                  <a:pt x="3706584" y="463842"/>
                                </a:lnTo>
                                <a:close/>
                              </a:path>
                            </a:pathLst>
                          </a:custGeom>
                          <a:solidFill>
                            <a:srgbClr val="FFFFFF"/>
                          </a:solidFill>
                        </wps:spPr>
                        <wps:bodyPr wrap="square" lIns="0" tIns="0" rIns="0" bIns="0" rtlCol="0">
                          <a:prstTxWarp prst="textNoShape">
                            <a:avLst/>
                          </a:prstTxWarp>
                          <a:noAutofit/>
                        </wps:bodyPr>
                      </wps:wsp>
                      <wps:wsp>
                        <wps:cNvPr id="183" name="Graphic 183"/>
                        <wps:cNvSpPr/>
                        <wps:spPr>
                          <a:xfrm>
                            <a:off x="2543709" y="68952"/>
                            <a:ext cx="1231900" cy="464184"/>
                          </a:xfrm>
                          <a:custGeom>
                            <a:avLst/>
                            <a:gdLst/>
                            <a:ahLst/>
                            <a:cxnLst/>
                            <a:rect l="l" t="t" r="r" b="b"/>
                            <a:pathLst>
                              <a:path w="1231900" h="464184">
                                <a:moveTo>
                                  <a:pt x="273634" y="0"/>
                                </a:moveTo>
                                <a:lnTo>
                                  <a:pt x="218116" y="778"/>
                                </a:lnTo>
                                <a:lnTo>
                                  <a:pt x="162835" y="3109"/>
                                </a:lnTo>
                                <a:lnTo>
                                  <a:pt x="107937" y="6984"/>
                                </a:lnTo>
                                <a:lnTo>
                                  <a:pt x="53568" y="12393"/>
                                </a:lnTo>
                                <a:lnTo>
                                  <a:pt x="0" y="19329"/>
                                </a:lnTo>
                                <a:lnTo>
                                  <a:pt x="63017" y="29582"/>
                                </a:lnTo>
                                <a:lnTo>
                                  <a:pt x="123782" y="41781"/>
                                </a:lnTo>
                                <a:lnTo>
                                  <a:pt x="182161" y="55838"/>
                                </a:lnTo>
                                <a:lnTo>
                                  <a:pt x="238023" y="71670"/>
                                </a:lnTo>
                                <a:lnTo>
                                  <a:pt x="291237" y="89190"/>
                                </a:lnTo>
                                <a:lnTo>
                                  <a:pt x="341671" y="108313"/>
                                </a:lnTo>
                                <a:lnTo>
                                  <a:pt x="389192" y="128952"/>
                                </a:lnTo>
                                <a:lnTo>
                                  <a:pt x="433669" y="151024"/>
                                </a:lnTo>
                                <a:lnTo>
                                  <a:pt x="474970" y="174441"/>
                                </a:lnTo>
                                <a:lnTo>
                                  <a:pt x="512963" y="199119"/>
                                </a:lnTo>
                                <a:lnTo>
                                  <a:pt x="547517" y="224971"/>
                                </a:lnTo>
                                <a:lnTo>
                                  <a:pt x="578499" y="251913"/>
                                </a:lnTo>
                                <a:lnTo>
                                  <a:pt x="605778" y="279858"/>
                                </a:lnTo>
                                <a:lnTo>
                                  <a:pt x="648699" y="338418"/>
                                </a:lnTo>
                                <a:lnTo>
                                  <a:pt x="675225" y="399966"/>
                                </a:lnTo>
                                <a:lnTo>
                                  <a:pt x="684301" y="463816"/>
                                </a:lnTo>
                                <a:lnTo>
                                  <a:pt x="1231836" y="463842"/>
                                </a:lnTo>
                                <a:lnTo>
                                  <a:pt x="1223769" y="403371"/>
                                </a:lnTo>
                                <a:lnTo>
                                  <a:pt x="1200241" y="345252"/>
                                </a:lnTo>
                                <a:lnTo>
                                  <a:pt x="1162261" y="289974"/>
                                </a:lnTo>
                                <a:lnTo>
                                  <a:pt x="1110839" y="238026"/>
                                </a:lnTo>
                                <a:lnTo>
                                  <a:pt x="1080402" y="213454"/>
                                </a:lnTo>
                                <a:lnTo>
                                  <a:pt x="1046983" y="189898"/>
                                </a:lnTo>
                                <a:lnTo>
                                  <a:pt x="1010708" y="167418"/>
                                </a:lnTo>
                                <a:lnTo>
                                  <a:pt x="971703" y="146076"/>
                                </a:lnTo>
                                <a:lnTo>
                                  <a:pt x="930095" y="125934"/>
                                </a:lnTo>
                                <a:lnTo>
                                  <a:pt x="886009" y="107052"/>
                                </a:lnTo>
                                <a:lnTo>
                                  <a:pt x="839572" y="89491"/>
                                </a:lnTo>
                                <a:lnTo>
                                  <a:pt x="790910" y="73312"/>
                                </a:lnTo>
                                <a:lnTo>
                                  <a:pt x="740149" y="58578"/>
                                </a:lnTo>
                                <a:lnTo>
                                  <a:pt x="687414" y="45347"/>
                                </a:lnTo>
                                <a:lnTo>
                                  <a:pt x="632834" y="33683"/>
                                </a:lnTo>
                                <a:lnTo>
                                  <a:pt x="576532" y="23645"/>
                                </a:lnTo>
                                <a:lnTo>
                                  <a:pt x="518637" y="15296"/>
                                </a:lnTo>
                                <a:lnTo>
                                  <a:pt x="459273" y="8695"/>
                                </a:lnTo>
                                <a:lnTo>
                                  <a:pt x="398567" y="3905"/>
                                </a:lnTo>
                                <a:lnTo>
                                  <a:pt x="336645" y="986"/>
                                </a:lnTo>
                                <a:lnTo>
                                  <a:pt x="273634" y="0"/>
                                </a:lnTo>
                                <a:close/>
                              </a:path>
                            </a:pathLst>
                          </a:custGeom>
                          <a:solidFill>
                            <a:srgbClr val="D2D3D5"/>
                          </a:solidFill>
                        </wps:spPr>
                        <wps:bodyPr wrap="square" lIns="0" tIns="0" rIns="0" bIns="0" rtlCol="0">
                          <a:prstTxWarp prst="textNoShape">
                            <a:avLst/>
                          </a:prstTxWarp>
                          <a:noAutofit/>
                        </wps:bodyPr>
                      </wps:wsp>
                      <wps:wsp>
                        <wps:cNvPr id="184" name="Graphic 184"/>
                        <wps:cNvSpPr/>
                        <wps:spPr>
                          <a:xfrm>
                            <a:off x="1092721" y="68952"/>
                            <a:ext cx="2682875" cy="464184"/>
                          </a:xfrm>
                          <a:custGeom>
                            <a:avLst/>
                            <a:gdLst/>
                            <a:ahLst/>
                            <a:cxnLst/>
                            <a:rect l="l" t="t" r="r" b="b"/>
                            <a:pathLst>
                              <a:path w="2682875" h="464184">
                                <a:moveTo>
                                  <a:pt x="2682824" y="463842"/>
                                </a:moveTo>
                                <a:lnTo>
                                  <a:pt x="2674757" y="403371"/>
                                </a:lnTo>
                                <a:lnTo>
                                  <a:pt x="2651229" y="345252"/>
                                </a:lnTo>
                                <a:lnTo>
                                  <a:pt x="2613251" y="289974"/>
                                </a:lnTo>
                                <a:lnTo>
                                  <a:pt x="2561831" y="238026"/>
                                </a:lnTo>
                                <a:lnTo>
                                  <a:pt x="2531396" y="213454"/>
                                </a:lnTo>
                                <a:lnTo>
                                  <a:pt x="2497980" y="189898"/>
                                </a:lnTo>
                                <a:lnTo>
                                  <a:pt x="2461708" y="167418"/>
                                </a:lnTo>
                                <a:lnTo>
                                  <a:pt x="2422707" y="146076"/>
                                </a:lnTo>
                                <a:lnTo>
                                  <a:pt x="2381102" y="125934"/>
                                </a:lnTo>
                                <a:lnTo>
                                  <a:pt x="2337021" y="107052"/>
                                </a:lnTo>
                                <a:lnTo>
                                  <a:pt x="2290590" y="89491"/>
                                </a:lnTo>
                                <a:lnTo>
                                  <a:pt x="2241934" y="73312"/>
                                </a:lnTo>
                                <a:lnTo>
                                  <a:pt x="2191180" y="58578"/>
                                </a:lnTo>
                                <a:lnTo>
                                  <a:pt x="2138454" y="45347"/>
                                </a:lnTo>
                                <a:lnTo>
                                  <a:pt x="2083883" y="33683"/>
                                </a:lnTo>
                                <a:lnTo>
                                  <a:pt x="2027591" y="23645"/>
                                </a:lnTo>
                                <a:lnTo>
                                  <a:pt x="1969707" y="15296"/>
                                </a:lnTo>
                                <a:lnTo>
                                  <a:pt x="1910356" y="8695"/>
                                </a:lnTo>
                                <a:lnTo>
                                  <a:pt x="1849663" y="3905"/>
                                </a:lnTo>
                                <a:lnTo>
                                  <a:pt x="1787756" y="986"/>
                                </a:lnTo>
                                <a:lnTo>
                                  <a:pt x="1724761" y="0"/>
                                </a:lnTo>
                                <a:lnTo>
                                  <a:pt x="1177213" y="0"/>
                                </a:lnTo>
                                <a:lnTo>
                                  <a:pt x="1116653" y="921"/>
                                </a:lnTo>
                                <a:lnTo>
                                  <a:pt x="1056890" y="3653"/>
                                </a:lnTo>
                                <a:lnTo>
                                  <a:pt x="998064" y="8150"/>
                                </a:lnTo>
                                <a:lnTo>
                                  <a:pt x="940309" y="14365"/>
                                </a:lnTo>
                                <a:lnTo>
                                  <a:pt x="883764" y="22251"/>
                                </a:lnTo>
                                <a:lnTo>
                                  <a:pt x="828565" y="31761"/>
                                </a:lnTo>
                                <a:lnTo>
                                  <a:pt x="774848" y="42848"/>
                                </a:lnTo>
                                <a:lnTo>
                                  <a:pt x="722752" y="55465"/>
                                </a:lnTo>
                                <a:lnTo>
                                  <a:pt x="672412" y="69566"/>
                                </a:lnTo>
                                <a:lnTo>
                                  <a:pt x="623966" y="85104"/>
                                </a:lnTo>
                                <a:lnTo>
                                  <a:pt x="577551" y="102032"/>
                                </a:lnTo>
                                <a:lnTo>
                                  <a:pt x="533303" y="120303"/>
                                </a:lnTo>
                                <a:lnTo>
                                  <a:pt x="491359" y="139870"/>
                                </a:lnTo>
                                <a:lnTo>
                                  <a:pt x="451857" y="160687"/>
                                </a:lnTo>
                                <a:lnTo>
                                  <a:pt x="414932" y="182706"/>
                                </a:lnTo>
                                <a:lnTo>
                                  <a:pt x="380723" y="205882"/>
                                </a:lnTo>
                                <a:lnTo>
                                  <a:pt x="349365" y="230166"/>
                                </a:lnTo>
                                <a:lnTo>
                                  <a:pt x="295754" y="281875"/>
                                </a:lnTo>
                                <a:lnTo>
                                  <a:pt x="273773" y="309206"/>
                                </a:lnTo>
                                <a:lnTo>
                                  <a:pt x="0" y="309232"/>
                                </a:lnTo>
                                <a:lnTo>
                                  <a:pt x="492658" y="463842"/>
                                </a:lnTo>
                                <a:lnTo>
                                  <a:pt x="1095082" y="309232"/>
                                </a:lnTo>
                                <a:lnTo>
                                  <a:pt x="821309" y="309206"/>
                                </a:lnTo>
                                <a:lnTo>
                                  <a:pt x="845191" y="279757"/>
                                </a:lnTo>
                                <a:lnTo>
                                  <a:pt x="872950" y="251361"/>
                                </a:lnTo>
                                <a:lnTo>
                                  <a:pt x="904428" y="224091"/>
                                </a:lnTo>
                                <a:lnTo>
                                  <a:pt x="939466" y="198020"/>
                                </a:lnTo>
                                <a:lnTo>
                                  <a:pt x="977907" y="173222"/>
                                </a:lnTo>
                                <a:lnTo>
                                  <a:pt x="1019591" y="149769"/>
                                </a:lnTo>
                                <a:lnTo>
                                  <a:pt x="1064361" y="127735"/>
                                </a:lnTo>
                                <a:lnTo>
                                  <a:pt x="1112059" y="107191"/>
                                </a:lnTo>
                                <a:lnTo>
                                  <a:pt x="1162525" y="88211"/>
                                </a:lnTo>
                                <a:lnTo>
                                  <a:pt x="1215603" y="70869"/>
                                </a:lnTo>
                                <a:lnTo>
                                  <a:pt x="1271134" y="55237"/>
                                </a:lnTo>
                                <a:lnTo>
                                  <a:pt x="1328959" y="41387"/>
                                </a:lnTo>
                                <a:lnTo>
                                  <a:pt x="1388921" y="29394"/>
                                </a:lnTo>
                                <a:lnTo>
                                  <a:pt x="1450860" y="19329"/>
                                </a:lnTo>
                                <a:lnTo>
                                  <a:pt x="1514005" y="29582"/>
                                </a:lnTo>
                                <a:lnTo>
                                  <a:pt x="1574769" y="41781"/>
                                </a:lnTo>
                                <a:lnTo>
                                  <a:pt x="1633149" y="55838"/>
                                </a:lnTo>
                                <a:lnTo>
                                  <a:pt x="1689011" y="71670"/>
                                </a:lnTo>
                                <a:lnTo>
                                  <a:pt x="1742225" y="89190"/>
                                </a:lnTo>
                                <a:lnTo>
                                  <a:pt x="1792659" y="108313"/>
                                </a:lnTo>
                                <a:lnTo>
                                  <a:pt x="1840180" y="128952"/>
                                </a:lnTo>
                                <a:lnTo>
                                  <a:pt x="1884657" y="151024"/>
                                </a:lnTo>
                                <a:lnTo>
                                  <a:pt x="1925958" y="174441"/>
                                </a:lnTo>
                                <a:lnTo>
                                  <a:pt x="1963951" y="199119"/>
                                </a:lnTo>
                                <a:lnTo>
                                  <a:pt x="1998505" y="224971"/>
                                </a:lnTo>
                                <a:lnTo>
                                  <a:pt x="2029487" y="251913"/>
                                </a:lnTo>
                                <a:lnTo>
                                  <a:pt x="2056766" y="279858"/>
                                </a:lnTo>
                                <a:lnTo>
                                  <a:pt x="2099686" y="338418"/>
                                </a:lnTo>
                                <a:lnTo>
                                  <a:pt x="2126212" y="399966"/>
                                </a:lnTo>
                                <a:lnTo>
                                  <a:pt x="2135289" y="463816"/>
                                </a:lnTo>
                                <a:lnTo>
                                  <a:pt x="2682824" y="463842"/>
                                </a:lnTo>
                                <a:close/>
                              </a:path>
                            </a:pathLst>
                          </a:custGeom>
                          <a:ln w="8953">
                            <a:solidFill>
                              <a:srgbClr val="000000"/>
                            </a:solidFill>
                            <a:prstDash val="solid"/>
                          </a:ln>
                        </wps:spPr>
                        <wps:bodyPr wrap="square" lIns="0" tIns="0" rIns="0" bIns="0" rtlCol="0">
                          <a:prstTxWarp prst="textNoShape">
                            <a:avLst/>
                          </a:prstTxWarp>
                          <a:noAutofit/>
                        </wps:bodyPr>
                      </wps:wsp>
                      <wps:wsp>
                        <wps:cNvPr id="185" name="Graphic 185"/>
                        <wps:cNvSpPr/>
                        <wps:spPr>
                          <a:xfrm>
                            <a:off x="2543573" y="68948"/>
                            <a:ext cx="274320" cy="19685"/>
                          </a:xfrm>
                          <a:custGeom>
                            <a:avLst/>
                            <a:gdLst/>
                            <a:ahLst/>
                            <a:cxnLst/>
                            <a:rect l="l" t="t" r="r" b="b"/>
                            <a:pathLst>
                              <a:path w="274320" h="19685">
                                <a:moveTo>
                                  <a:pt x="273900" y="0"/>
                                </a:moveTo>
                                <a:lnTo>
                                  <a:pt x="218314" y="778"/>
                                </a:lnTo>
                                <a:lnTo>
                                  <a:pt x="162992" y="3109"/>
                                </a:lnTo>
                                <a:lnTo>
                                  <a:pt x="108073" y="6984"/>
                                </a:lnTo>
                                <a:lnTo>
                                  <a:pt x="53696" y="12393"/>
                                </a:lnTo>
                                <a:lnTo>
                                  <a:pt x="0" y="19329"/>
                                </a:lnTo>
                              </a:path>
                            </a:pathLst>
                          </a:custGeom>
                          <a:ln w="8953">
                            <a:solidFill>
                              <a:srgbClr val="000000"/>
                            </a:solidFill>
                            <a:prstDash val="solid"/>
                          </a:ln>
                        </wps:spPr>
                        <wps:bodyPr wrap="square" lIns="0" tIns="0" rIns="0" bIns="0" rtlCol="0">
                          <a:prstTxWarp prst="textNoShape">
                            <a:avLst/>
                          </a:prstTxWarp>
                          <a:noAutofit/>
                        </wps:bodyPr>
                      </wps:wsp>
                      <wps:wsp>
                        <wps:cNvPr id="186" name="Graphic 186"/>
                        <wps:cNvSpPr/>
                        <wps:spPr>
                          <a:xfrm>
                            <a:off x="3213204" y="4477"/>
                            <a:ext cx="2864485" cy="2664460"/>
                          </a:xfrm>
                          <a:custGeom>
                            <a:avLst/>
                            <a:gdLst/>
                            <a:ahLst/>
                            <a:cxnLst/>
                            <a:rect l="l" t="t" r="r" b="b"/>
                            <a:pathLst>
                              <a:path w="2864485" h="2664460">
                                <a:moveTo>
                                  <a:pt x="1078115" y="1383779"/>
                                </a:moveTo>
                                <a:lnTo>
                                  <a:pt x="843191" y="1383779"/>
                                </a:lnTo>
                                <a:lnTo>
                                  <a:pt x="843191" y="1927860"/>
                                </a:lnTo>
                                <a:lnTo>
                                  <a:pt x="837488" y="1966328"/>
                                </a:lnTo>
                                <a:lnTo>
                                  <a:pt x="821232" y="2001647"/>
                                </a:lnTo>
                                <a:lnTo>
                                  <a:pt x="795731" y="2032812"/>
                                </a:lnTo>
                                <a:lnTo>
                                  <a:pt x="762279" y="2058797"/>
                                </a:lnTo>
                                <a:lnTo>
                                  <a:pt x="722172" y="2078609"/>
                                </a:lnTo>
                                <a:lnTo>
                                  <a:pt x="676694" y="2091232"/>
                                </a:lnTo>
                                <a:lnTo>
                                  <a:pt x="627164" y="2095665"/>
                                </a:lnTo>
                                <a:lnTo>
                                  <a:pt x="529234" y="2095665"/>
                                </a:lnTo>
                                <a:lnTo>
                                  <a:pt x="529234" y="1927860"/>
                                </a:lnTo>
                                <a:lnTo>
                                  <a:pt x="294297" y="2278164"/>
                                </a:lnTo>
                                <a:lnTo>
                                  <a:pt x="529234" y="2628468"/>
                                </a:lnTo>
                                <a:lnTo>
                                  <a:pt x="529234" y="2460663"/>
                                </a:lnTo>
                                <a:lnTo>
                                  <a:pt x="627164" y="2460663"/>
                                </a:lnTo>
                                <a:lnTo>
                                  <a:pt x="670585" y="2458224"/>
                                </a:lnTo>
                                <a:lnTo>
                                  <a:pt x="712851" y="2451062"/>
                                </a:lnTo>
                                <a:lnTo>
                                  <a:pt x="753757" y="2439378"/>
                                </a:lnTo>
                                <a:lnTo>
                                  <a:pt x="793115" y="2423426"/>
                                </a:lnTo>
                                <a:lnTo>
                                  <a:pt x="830732" y="2403411"/>
                                </a:lnTo>
                                <a:lnTo>
                                  <a:pt x="866432" y="2379548"/>
                                </a:lnTo>
                                <a:lnTo>
                                  <a:pt x="900023" y="2352090"/>
                                </a:lnTo>
                                <a:lnTo>
                                  <a:pt x="931316" y="2321229"/>
                                </a:lnTo>
                                <a:lnTo>
                                  <a:pt x="960107" y="2287206"/>
                                </a:lnTo>
                                <a:lnTo>
                                  <a:pt x="986218" y="2250249"/>
                                </a:lnTo>
                                <a:lnTo>
                                  <a:pt x="1009472" y="2210562"/>
                                </a:lnTo>
                                <a:lnTo>
                                  <a:pt x="1029652" y="2168385"/>
                                </a:lnTo>
                                <a:lnTo>
                                  <a:pt x="1046594" y="2123935"/>
                                </a:lnTo>
                                <a:lnTo>
                                  <a:pt x="1060107" y="2077427"/>
                                </a:lnTo>
                                <a:lnTo>
                                  <a:pt x="1069987" y="2029104"/>
                                </a:lnTo>
                                <a:lnTo>
                                  <a:pt x="1076045" y="1979168"/>
                                </a:lnTo>
                                <a:lnTo>
                                  <a:pt x="1078115" y="1927860"/>
                                </a:lnTo>
                                <a:lnTo>
                                  <a:pt x="1078115" y="1383779"/>
                                </a:lnTo>
                                <a:close/>
                              </a:path>
                              <a:path w="2864485" h="2664460">
                                <a:moveTo>
                                  <a:pt x="1859559" y="0"/>
                                </a:moveTo>
                                <a:lnTo>
                                  <a:pt x="0" y="0"/>
                                </a:lnTo>
                                <a:lnTo>
                                  <a:pt x="0" y="336092"/>
                                </a:lnTo>
                                <a:lnTo>
                                  <a:pt x="1859559" y="336092"/>
                                </a:lnTo>
                                <a:lnTo>
                                  <a:pt x="1859559" y="0"/>
                                </a:lnTo>
                                <a:close/>
                              </a:path>
                              <a:path w="2864485" h="2664460">
                                <a:moveTo>
                                  <a:pt x="2864256" y="2238044"/>
                                </a:moveTo>
                                <a:lnTo>
                                  <a:pt x="1313929" y="2238044"/>
                                </a:lnTo>
                                <a:lnTo>
                                  <a:pt x="1313929" y="2664282"/>
                                </a:lnTo>
                                <a:lnTo>
                                  <a:pt x="2864256" y="2664282"/>
                                </a:lnTo>
                                <a:lnTo>
                                  <a:pt x="2864256" y="2238044"/>
                                </a:lnTo>
                                <a:close/>
                              </a:path>
                            </a:pathLst>
                          </a:custGeom>
                          <a:solidFill>
                            <a:srgbClr val="FFFFFF"/>
                          </a:solidFill>
                        </wps:spPr>
                        <wps:bodyPr wrap="square" lIns="0" tIns="0" rIns="0" bIns="0" rtlCol="0">
                          <a:prstTxWarp prst="textNoShape">
                            <a:avLst/>
                          </a:prstTxWarp>
                          <a:noAutofit/>
                        </wps:bodyPr>
                      </wps:wsp>
                      <wps:wsp>
                        <wps:cNvPr id="187" name="Graphic 187"/>
                        <wps:cNvSpPr/>
                        <wps:spPr>
                          <a:xfrm>
                            <a:off x="3507506" y="1388253"/>
                            <a:ext cx="784225" cy="1245235"/>
                          </a:xfrm>
                          <a:custGeom>
                            <a:avLst/>
                            <a:gdLst/>
                            <a:ahLst/>
                            <a:cxnLst/>
                            <a:rect l="l" t="t" r="r" b="b"/>
                            <a:pathLst>
                              <a:path w="784225" h="1245235">
                                <a:moveTo>
                                  <a:pt x="0" y="894384"/>
                                </a:moveTo>
                                <a:lnTo>
                                  <a:pt x="234937" y="1244688"/>
                                </a:lnTo>
                                <a:lnTo>
                                  <a:pt x="234937" y="1076883"/>
                                </a:lnTo>
                                <a:lnTo>
                                  <a:pt x="332867" y="1076883"/>
                                </a:lnTo>
                                <a:lnTo>
                                  <a:pt x="376295" y="1074444"/>
                                </a:lnTo>
                                <a:lnTo>
                                  <a:pt x="418556" y="1067275"/>
                                </a:lnTo>
                                <a:lnTo>
                                  <a:pt x="459460" y="1055600"/>
                                </a:lnTo>
                                <a:lnTo>
                                  <a:pt x="498818" y="1039642"/>
                                </a:lnTo>
                                <a:lnTo>
                                  <a:pt x="536442" y="1019624"/>
                                </a:lnTo>
                                <a:lnTo>
                                  <a:pt x="572142" y="995771"/>
                                </a:lnTo>
                                <a:lnTo>
                                  <a:pt x="605729" y="968304"/>
                                </a:lnTo>
                                <a:lnTo>
                                  <a:pt x="637014" y="937448"/>
                                </a:lnTo>
                                <a:lnTo>
                                  <a:pt x="665809" y="903427"/>
                                </a:lnTo>
                                <a:lnTo>
                                  <a:pt x="691924" y="866462"/>
                                </a:lnTo>
                                <a:lnTo>
                                  <a:pt x="715170" y="826778"/>
                                </a:lnTo>
                                <a:lnTo>
                                  <a:pt x="735358" y="784599"/>
                                </a:lnTo>
                                <a:lnTo>
                                  <a:pt x="752300" y="740147"/>
                                </a:lnTo>
                                <a:lnTo>
                                  <a:pt x="765806" y="693645"/>
                                </a:lnTo>
                                <a:lnTo>
                                  <a:pt x="775687" y="645318"/>
                                </a:lnTo>
                                <a:lnTo>
                                  <a:pt x="781754" y="595389"/>
                                </a:lnTo>
                                <a:lnTo>
                                  <a:pt x="783818" y="544080"/>
                                </a:lnTo>
                                <a:lnTo>
                                  <a:pt x="783818" y="0"/>
                                </a:lnTo>
                                <a:lnTo>
                                  <a:pt x="548894" y="0"/>
                                </a:lnTo>
                                <a:lnTo>
                                  <a:pt x="548894" y="544080"/>
                                </a:lnTo>
                                <a:lnTo>
                                  <a:pt x="543188" y="582551"/>
                                </a:lnTo>
                                <a:lnTo>
                                  <a:pt x="526938" y="617869"/>
                                </a:lnTo>
                                <a:lnTo>
                                  <a:pt x="501437" y="649027"/>
                                </a:lnTo>
                                <a:lnTo>
                                  <a:pt x="467984" y="675015"/>
                                </a:lnTo>
                                <a:lnTo>
                                  <a:pt x="427873" y="694826"/>
                                </a:lnTo>
                                <a:lnTo>
                                  <a:pt x="382402" y="707453"/>
                                </a:lnTo>
                                <a:lnTo>
                                  <a:pt x="332867" y="711885"/>
                                </a:lnTo>
                                <a:lnTo>
                                  <a:pt x="234937" y="711885"/>
                                </a:lnTo>
                                <a:lnTo>
                                  <a:pt x="234937" y="544080"/>
                                </a:lnTo>
                                <a:lnTo>
                                  <a:pt x="0" y="894384"/>
                                </a:lnTo>
                                <a:close/>
                              </a:path>
                            </a:pathLst>
                          </a:custGeom>
                          <a:ln w="8953">
                            <a:solidFill>
                              <a:srgbClr val="000000"/>
                            </a:solidFill>
                            <a:prstDash val="solid"/>
                          </a:ln>
                        </wps:spPr>
                        <wps:bodyPr wrap="square" lIns="0" tIns="0" rIns="0" bIns="0" rtlCol="0">
                          <a:prstTxWarp prst="textNoShape">
                            <a:avLst/>
                          </a:prstTxWarp>
                          <a:noAutofit/>
                        </wps:bodyPr>
                      </wps:wsp>
                      <wps:wsp>
                        <wps:cNvPr id="188" name="Graphic 188"/>
                        <wps:cNvSpPr/>
                        <wps:spPr>
                          <a:xfrm>
                            <a:off x="4472" y="1620476"/>
                            <a:ext cx="4926965" cy="1321435"/>
                          </a:xfrm>
                          <a:custGeom>
                            <a:avLst/>
                            <a:gdLst/>
                            <a:ahLst/>
                            <a:cxnLst/>
                            <a:rect l="l" t="t" r="r" b="b"/>
                            <a:pathLst>
                              <a:path w="4926965" h="1321435">
                                <a:moveTo>
                                  <a:pt x="1552130" y="1090993"/>
                                </a:moveTo>
                                <a:lnTo>
                                  <a:pt x="873658" y="1090993"/>
                                </a:lnTo>
                                <a:lnTo>
                                  <a:pt x="825677" y="1085405"/>
                                </a:lnTo>
                                <a:lnTo>
                                  <a:pt x="781634" y="1069492"/>
                                </a:lnTo>
                                <a:lnTo>
                                  <a:pt x="742784" y="1044524"/>
                                </a:lnTo>
                                <a:lnTo>
                                  <a:pt x="710374" y="1011758"/>
                                </a:lnTo>
                                <a:lnTo>
                                  <a:pt x="685673" y="972477"/>
                                </a:lnTo>
                                <a:lnTo>
                                  <a:pt x="669925" y="927938"/>
                                </a:lnTo>
                                <a:lnTo>
                                  <a:pt x="664400" y="879424"/>
                                </a:lnTo>
                                <a:lnTo>
                                  <a:pt x="664400" y="783488"/>
                                </a:lnTo>
                                <a:lnTo>
                                  <a:pt x="873658" y="783488"/>
                                </a:lnTo>
                                <a:lnTo>
                                  <a:pt x="436829" y="553389"/>
                                </a:lnTo>
                                <a:lnTo>
                                  <a:pt x="0" y="783488"/>
                                </a:lnTo>
                                <a:lnTo>
                                  <a:pt x="209257" y="783488"/>
                                </a:lnTo>
                                <a:lnTo>
                                  <a:pt x="209257" y="879424"/>
                                </a:lnTo>
                                <a:lnTo>
                                  <a:pt x="211696" y="917536"/>
                                </a:lnTo>
                                <a:lnTo>
                                  <a:pt x="230606" y="990917"/>
                                </a:lnTo>
                                <a:lnTo>
                                  <a:pt x="246684" y="1025931"/>
                                </a:lnTo>
                                <a:lnTo>
                                  <a:pt x="266903" y="1059637"/>
                                </a:lnTo>
                                <a:lnTo>
                                  <a:pt x="291071" y="1091920"/>
                                </a:lnTo>
                                <a:lnTo>
                                  <a:pt x="318985" y="1122641"/>
                                </a:lnTo>
                                <a:lnTo>
                                  <a:pt x="350456" y="1151661"/>
                                </a:lnTo>
                                <a:lnTo>
                                  <a:pt x="385267" y="1178864"/>
                                </a:lnTo>
                                <a:lnTo>
                                  <a:pt x="423227" y="1204099"/>
                                </a:lnTo>
                                <a:lnTo>
                                  <a:pt x="464134" y="1227239"/>
                                </a:lnTo>
                                <a:lnTo>
                                  <a:pt x="507796" y="1248156"/>
                                </a:lnTo>
                                <a:lnTo>
                                  <a:pt x="553999" y="1266710"/>
                                </a:lnTo>
                                <a:lnTo>
                                  <a:pt x="602564" y="1282776"/>
                                </a:lnTo>
                                <a:lnTo>
                                  <a:pt x="653275" y="1296212"/>
                                </a:lnTo>
                                <a:lnTo>
                                  <a:pt x="705942" y="1306906"/>
                                </a:lnTo>
                                <a:lnTo>
                                  <a:pt x="760361" y="1314704"/>
                                </a:lnTo>
                                <a:lnTo>
                                  <a:pt x="816330" y="1319479"/>
                                </a:lnTo>
                                <a:lnTo>
                                  <a:pt x="873658" y="1321092"/>
                                </a:lnTo>
                                <a:lnTo>
                                  <a:pt x="1552130" y="1321092"/>
                                </a:lnTo>
                                <a:lnTo>
                                  <a:pt x="1552130" y="1090993"/>
                                </a:lnTo>
                                <a:close/>
                              </a:path>
                              <a:path w="4926965" h="1321435">
                                <a:moveTo>
                                  <a:pt x="4926812" y="0"/>
                                </a:moveTo>
                                <a:lnTo>
                                  <a:pt x="3771074" y="0"/>
                                </a:lnTo>
                                <a:lnTo>
                                  <a:pt x="3771074" y="553389"/>
                                </a:lnTo>
                                <a:lnTo>
                                  <a:pt x="4926812" y="553389"/>
                                </a:lnTo>
                                <a:lnTo>
                                  <a:pt x="4926812" y="0"/>
                                </a:lnTo>
                                <a:close/>
                              </a:path>
                            </a:pathLst>
                          </a:custGeom>
                          <a:solidFill>
                            <a:srgbClr val="FFFFFF"/>
                          </a:solidFill>
                        </wps:spPr>
                        <wps:bodyPr wrap="square" lIns="0" tIns="0" rIns="0" bIns="0" rtlCol="0">
                          <a:prstTxWarp prst="textNoShape">
                            <a:avLst/>
                          </a:prstTxWarp>
                          <a:noAutofit/>
                        </wps:bodyPr>
                      </wps:wsp>
                      <wps:wsp>
                        <wps:cNvPr id="189" name="Graphic 189"/>
                        <wps:cNvSpPr/>
                        <wps:spPr>
                          <a:xfrm>
                            <a:off x="4476" y="2173865"/>
                            <a:ext cx="1552575" cy="767715"/>
                          </a:xfrm>
                          <a:custGeom>
                            <a:avLst/>
                            <a:gdLst/>
                            <a:ahLst/>
                            <a:cxnLst/>
                            <a:rect l="l" t="t" r="r" b="b"/>
                            <a:pathLst>
                              <a:path w="1552575" h="767715">
                                <a:moveTo>
                                  <a:pt x="436829" y="0"/>
                                </a:moveTo>
                                <a:lnTo>
                                  <a:pt x="0" y="230098"/>
                                </a:lnTo>
                                <a:lnTo>
                                  <a:pt x="209257" y="230098"/>
                                </a:lnTo>
                                <a:lnTo>
                                  <a:pt x="209257" y="326034"/>
                                </a:lnTo>
                                <a:lnTo>
                                  <a:pt x="211696" y="364141"/>
                                </a:lnTo>
                                <a:lnTo>
                                  <a:pt x="230609" y="437524"/>
                                </a:lnTo>
                                <a:lnTo>
                                  <a:pt x="246684" y="472534"/>
                                </a:lnTo>
                                <a:lnTo>
                                  <a:pt x="266906" y="506246"/>
                                </a:lnTo>
                                <a:lnTo>
                                  <a:pt x="291074" y="538528"/>
                                </a:lnTo>
                                <a:lnTo>
                                  <a:pt x="318990" y="569247"/>
                                </a:lnTo>
                                <a:lnTo>
                                  <a:pt x="350453" y="598270"/>
                                </a:lnTo>
                                <a:lnTo>
                                  <a:pt x="385265" y="625466"/>
                                </a:lnTo>
                                <a:lnTo>
                                  <a:pt x="423226" y="650700"/>
                                </a:lnTo>
                                <a:lnTo>
                                  <a:pt x="464136" y="673842"/>
                                </a:lnTo>
                                <a:lnTo>
                                  <a:pt x="507796" y="694757"/>
                                </a:lnTo>
                                <a:lnTo>
                                  <a:pt x="554007" y="713314"/>
                                </a:lnTo>
                                <a:lnTo>
                                  <a:pt x="602568" y="729380"/>
                                </a:lnTo>
                                <a:lnTo>
                                  <a:pt x="653281" y="742822"/>
                                </a:lnTo>
                                <a:lnTo>
                                  <a:pt x="705946" y="753508"/>
                                </a:lnTo>
                                <a:lnTo>
                                  <a:pt x="760364" y="761305"/>
                                </a:lnTo>
                                <a:lnTo>
                                  <a:pt x="816334" y="766081"/>
                                </a:lnTo>
                                <a:lnTo>
                                  <a:pt x="873658" y="767702"/>
                                </a:lnTo>
                                <a:lnTo>
                                  <a:pt x="1552130" y="767702"/>
                                </a:lnTo>
                                <a:lnTo>
                                  <a:pt x="1552130" y="537603"/>
                                </a:lnTo>
                                <a:lnTo>
                                  <a:pt x="873658" y="537603"/>
                                </a:lnTo>
                                <a:lnTo>
                                  <a:pt x="825681" y="532016"/>
                                </a:lnTo>
                                <a:lnTo>
                                  <a:pt x="781637" y="516100"/>
                                </a:lnTo>
                                <a:lnTo>
                                  <a:pt x="742783" y="491126"/>
                                </a:lnTo>
                                <a:lnTo>
                                  <a:pt x="710376" y="458362"/>
                                </a:lnTo>
                                <a:lnTo>
                                  <a:pt x="685671" y="419079"/>
                                </a:lnTo>
                                <a:lnTo>
                                  <a:pt x="669927" y="374547"/>
                                </a:lnTo>
                                <a:lnTo>
                                  <a:pt x="664400" y="326034"/>
                                </a:lnTo>
                                <a:lnTo>
                                  <a:pt x="664400" y="230098"/>
                                </a:lnTo>
                                <a:lnTo>
                                  <a:pt x="873658" y="230098"/>
                                </a:lnTo>
                                <a:lnTo>
                                  <a:pt x="436829" y="0"/>
                                </a:lnTo>
                                <a:close/>
                              </a:path>
                            </a:pathLst>
                          </a:custGeom>
                          <a:ln w="8953">
                            <a:solidFill>
                              <a:srgbClr val="000000"/>
                            </a:solidFill>
                            <a:prstDash val="solid"/>
                          </a:ln>
                        </wps:spPr>
                        <wps:bodyPr wrap="square" lIns="0" tIns="0" rIns="0" bIns="0" rtlCol="0">
                          <a:prstTxWarp prst="textNoShape">
                            <a:avLst/>
                          </a:prstTxWarp>
                          <a:noAutofit/>
                        </wps:bodyPr>
                      </wps:wsp>
                      <wps:wsp>
                        <wps:cNvPr id="190" name="Graphic 190"/>
                        <wps:cNvSpPr/>
                        <wps:spPr>
                          <a:xfrm>
                            <a:off x="185371" y="2603685"/>
                            <a:ext cx="1090930" cy="345440"/>
                          </a:xfrm>
                          <a:custGeom>
                            <a:avLst/>
                            <a:gdLst/>
                            <a:ahLst/>
                            <a:cxnLst/>
                            <a:rect l="l" t="t" r="r" b="b"/>
                            <a:pathLst>
                              <a:path w="1090930" h="345440">
                                <a:moveTo>
                                  <a:pt x="1090663" y="0"/>
                                </a:moveTo>
                                <a:lnTo>
                                  <a:pt x="0" y="0"/>
                                </a:lnTo>
                                <a:lnTo>
                                  <a:pt x="0" y="345046"/>
                                </a:lnTo>
                                <a:lnTo>
                                  <a:pt x="1090663" y="345046"/>
                                </a:lnTo>
                                <a:lnTo>
                                  <a:pt x="1090663" y="0"/>
                                </a:lnTo>
                                <a:close/>
                              </a:path>
                            </a:pathLst>
                          </a:custGeom>
                          <a:solidFill>
                            <a:srgbClr val="FFFFFF"/>
                          </a:solidFill>
                        </wps:spPr>
                        <wps:bodyPr wrap="square" lIns="0" tIns="0" rIns="0" bIns="0" rtlCol="0">
                          <a:prstTxWarp prst="textNoShape">
                            <a:avLst/>
                          </a:prstTxWarp>
                          <a:noAutofit/>
                        </wps:bodyPr>
                      </wps:wsp>
                      <wps:wsp>
                        <wps:cNvPr id="191" name="Textbox 191"/>
                        <wps:cNvSpPr txBox="1"/>
                        <wps:spPr>
                          <a:xfrm>
                            <a:off x="185366" y="2552910"/>
                            <a:ext cx="1282016" cy="453955"/>
                          </a:xfrm>
                          <a:prstGeom prst="rect">
                            <a:avLst/>
                          </a:prstGeom>
                          <a:ln w="8953">
                            <a:solidFill>
                              <a:srgbClr val="000000"/>
                            </a:solidFill>
                            <a:prstDash val="solid"/>
                          </a:ln>
                        </wps:spPr>
                        <wps:txbx>
                          <w:txbxContent>
                            <w:p w14:paraId="250E0F23" w14:textId="77777777" w:rsidR="00E62C33" w:rsidRPr="008C662E" w:rsidRDefault="00E62C33" w:rsidP="009646F1">
                              <w:pPr>
                                <w:spacing w:before="48" w:line="257" w:lineRule="auto"/>
                                <w:ind w:left="57"/>
                                <w:rPr>
                                  <w:rFonts w:ascii="Times New Roman" w:hAnsi="Times New Roman"/>
                                  <w:sz w:val="16"/>
                                  <w:szCs w:val="16"/>
                                </w:rPr>
                              </w:pPr>
                              <w:r w:rsidRPr="008C662E">
                                <w:rPr>
                                  <w:rFonts w:ascii="Times New Roman" w:hAnsi="Times New Roman"/>
                                  <w:spacing w:val="-2"/>
                                  <w:w w:val="105"/>
                                  <w:sz w:val="16"/>
                                  <w:szCs w:val="16"/>
                                </w:rPr>
                                <w:t>Збільшення кількості</w:t>
                              </w:r>
                              <w:r w:rsidRPr="008C662E">
                                <w:rPr>
                                  <w:rFonts w:ascii="Times New Roman" w:hAnsi="Times New Roman"/>
                                  <w:spacing w:val="-10"/>
                                  <w:w w:val="105"/>
                                  <w:sz w:val="16"/>
                                  <w:szCs w:val="16"/>
                                </w:rPr>
                                <w:t xml:space="preserve"> </w:t>
                              </w:r>
                              <w:r w:rsidRPr="008C662E">
                                <w:rPr>
                                  <w:rFonts w:ascii="Times New Roman" w:hAnsi="Times New Roman"/>
                                  <w:spacing w:val="-2"/>
                                  <w:w w:val="105"/>
                                  <w:sz w:val="16"/>
                                  <w:szCs w:val="16"/>
                                </w:rPr>
                                <w:t>населення</w:t>
                              </w:r>
                            </w:p>
                          </w:txbxContent>
                        </wps:txbx>
                        <wps:bodyPr wrap="square" lIns="0" tIns="0" rIns="0" bIns="0" rtlCol="0">
                          <a:noAutofit/>
                        </wps:bodyPr>
                      </wps:wsp>
                      <wps:wsp>
                        <wps:cNvPr id="192" name="Textbox 192"/>
                        <wps:cNvSpPr txBox="1"/>
                        <wps:spPr>
                          <a:xfrm>
                            <a:off x="1908819" y="2464754"/>
                            <a:ext cx="1470927" cy="310942"/>
                          </a:xfrm>
                          <a:prstGeom prst="rect">
                            <a:avLst/>
                          </a:prstGeom>
                          <a:ln w="8953">
                            <a:solidFill>
                              <a:srgbClr val="000000"/>
                            </a:solidFill>
                            <a:prstDash val="solid"/>
                          </a:ln>
                        </wps:spPr>
                        <wps:txbx>
                          <w:txbxContent>
                            <w:p w14:paraId="27677334" w14:textId="77777777" w:rsidR="00E62C33" w:rsidRPr="008C662E" w:rsidRDefault="00E62C33" w:rsidP="00E62C33">
                              <w:pPr>
                                <w:spacing w:before="86"/>
                                <w:ind w:left="483"/>
                                <w:rPr>
                                  <w:rFonts w:ascii="Times New Roman" w:hAnsi="Times New Roman"/>
                                  <w:sz w:val="16"/>
                                  <w:szCs w:val="16"/>
                                </w:rPr>
                              </w:pPr>
                              <w:r w:rsidRPr="008C662E">
                                <w:rPr>
                                  <w:rFonts w:ascii="Times New Roman" w:hAnsi="Times New Roman"/>
                                  <w:spacing w:val="-2"/>
                                  <w:w w:val="105"/>
                                  <w:sz w:val="16"/>
                                  <w:szCs w:val="16"/>
                                </w:rPr>
                                <w:t>Суспільство</w:t>
                              </w:r>
                            </w:p>
                          </w:txbxContent>
                        </wps:txbx>
                        <wps:bodyPr wrap="square" lIns="0" tIns="0" rIns="0" bIns="0" rtlCol="0">
                          <a:noAutofit/>
                        </wps:bodyPr>
                      </wps:wsp>
                      <wps:wsp>
                        <wps:cNvPr id="193" name="Textbox 193"/>
                        <wps:cNvSpPr txBox="1"/>
                        <wps:spPr>
                          <a:xfrm>
                            <a:off x="4291733" y="2241960"/>
                            <a:ext cx="1786071" cy="699118"/>
                          </a:xfrm>
                          <a:prstGeom prst="rect">
                            <a:avLst/>
                          </a:prstGeom>
                          <a:ln w="8953">
                            <a:solidFill>
                              <a:srgbClr val="000000"/>
                            </a:solidFill>
                            <a:prstDash val="solid"/>
                          </a:ln>
                        </wps:spPr>
                        <wps:txbx>
                          <w:txbxContent>
                            <w:p w14:paraId="1DB686E7" w14:textId="77777777" w:rsidR="00E62C33" w:rsidRPr="008C662E" w:rsidRDefault="00E62C33" w:rsidP="00E62C33">
                              <w:pPr>
                                <w:spacing w:before="5" w:line="252" w:lineRule="auto"/>
                                <w:ind w:left="326" w:right="326" w:firstLine="3"/>
                                <w:jc w:val="center"/>
                                <w:rPr>
                                  <w:rFonts w:ascii="Times New Roman" w:hAnsi="Times New Roman"/>
                                  <w:sz w:val="16"/>
                                  <w:szCs w:val="16"/>
                                </w:rPr>
                              </w:pPr>
                              <w:r w:rsidRPr="008C662E">
                                <w:rPr>
                                  <w:rFonts w:ascii="Times New Roman" w:hAnsi="Times New Roman"/>
                                  <w:w w:val="105"/>
                                  <w:sz w:val="16"/>
                                  <w:szCs w:val="16"/>
                                </w:rPr>
                                <w:t xml:space="preserve">Впровадження нових </w:t>
                              </w:r>
                              <w:r w:rsidRPr="008C662E">
                                <w:rPr>
                                  <w:rFonts w:ascii="Times New Roman" w:hAnsi="Times New Roman"/>
                                  <w:spacing w:val="-2"/>
                                  <w:w w:val="105"/>
                                  <w:sz w:val="16"/>
                                  <w:szCs w:val="16"/>
                                </w:rPr>
                                <w:t>технологій природокористування</w:t>
                              </w:r>
                            </w:p>
                          </w:txbxContent>
                        </wps:txbx>
                        <wps:bodyPr wrap="square" lIns="0" tIns="0" rIns="0" bIns="0" rtlCol="0">
                          <a:noAutofit/>
                        </wps:bodyPr>
                      </wps:wsp>
                      <wps:wsp>
                        <wps:cNvPr id="194" name="Textbox 194"/>
                        <wps:cNvSpPr txBox="1"/>
                        <wps:spPr>
                          <a:xfrm>
                            <a:off x="3775546" y="1620475"/>
                            <a:ext cx="1156335" cy="553720"/>
                          </a:xfrm>
                          <a:prstGeom prst="rect">
                            <a:avLst/>
                          </a:prstGeom>
                          <a:ln w="8953">
                            <a:solidFill>
                              <a:srgbClr val="000000"/>
                            </a:solidFill>
                            <a:prstDash val="solid"/>
                          </a:ln>
                        </wps:spPr>
                        <wps:txbx>
                          <w:txbxContent>
                            <w:p w14:paraId="1391F4B5" w14:textId="77777777" w:rsidR="00E62C33" w:rsidRDefault="00E62C33" w:rsidP="00E62C33">
                              <w:pPr>
                                <w:spacing w:before="105" w:line="254" w:lineRule="auto"/>
                                <w:ind w:left="8" w:right="4"/>
                                <w:jc w:val="center"/>
                                <w:rPr>
                                  <w:rFonts w:ascii="Times New Roman" w:hAnsi="Times New Roman"/>
                                  <w:sz w:val="18"/>
                                </w:rPr>
                              </w:pPr>
                              <w:r>
                                <w:rPr>
                                  <w:rFonts w:ascii="Times New Roman" w:hAnsi="Times New Roman"/>
                                  <w:spacing w:val="-2"/>
                                  <w:w w:val="105"/>
                                  <w:sz w:val="18"/>
                                </w:rPr>
                                <w:t>Отримання</w:t>
                              </w:r>
                              <w:r>
                                <w:rPr>
                                  <w:rFonts w:ascii="Times New Roman" w:hAnsi="Times New Roman"/>
                                  <w:spacing w:val="-10"/>
                                  <w:w w:val="105"/>
                                  <w:sz w:val="18"/>
                                </w:rPr>
                                <w:t xml:space="preserve"> </w:t>
                              </w:r>
                              <w:r>
                                <w:rPr>
                                  <w:rFonts w:ascii="Times New Roman" w:hAnsi="Times New Roman"/>
                                  <w:spacing w:val="-2"/>
                                  <w:w w:val="105"/>
                                  <w:sz w:val="18"/>
                                </w:rPr>
                                <w:t xml:space="preserve">прибутку </w:t>
                              </w:r>
                              <w:r>
                                <w:rPr>
                                  <w:rFonts w:ascii="Times New Roman" w:hAnsi="Times New Roman"/>
                                  <w:w w:val="105"/>
                                  <w:sz w:val="18"/>
                                </w:rPr>
                                <w:t>та матеріал матеріальних благ</w:t>
                              </w:r>
                            </w:p>
                          </w:txbxContent>
                        </wps:txbx>
                        <wps:bodyPr wrap="square" lIns="0" tIns="0" rIns="0" bIns="0" rtlCol="0">
                          <a:noAutofit/>
                        </wps:bodyPr>
                      </wps:wsp>
                      <wps:wsp>
                        <wps:cNvPr id="195" name="Textbox 195"/>
                        <wps:cNvSpPr txBox="1"/>
                        <wps:spPr>
                          <a:xfrm>
                            <a:off x="1884343" y="1630836"/>
                            <a:ext cx="1495425" cy="443968"/>
                          </a:xfrm>
                          <a:prstGeom prst="rect">
                            <a:avLst/>
                          </a:prstGeom>
                          <a:ln w="8953">
                            <a:solidFill>
                              <a:srgbClr val="000000"/>
                            </a:solidFill>
                            <a:prstDash val="solid"/>
                          </a:ln>
                        </wps:spPr>
                        <wps:txbx>
                          <w:txbxContent>
                            <w:p w14:paraId="0DC6D6A9" w14:textId="77777777" w:rsidR="00E62C33" w:rsidRPr="008C662E" w:rsidRDefault="00E62C33" w:rsidP="008C662E">
                              <w:pPr>
                                <w:spacing w:after="0"/>
                                <w:jc w:val="center"/>
                                <w:rPr>
                                  <w:rFonts w:ascii="Times New Roman" w:hAnsi="Times New Roman"/>
                                  <w:sz w:val="16"/>
                                  <w:szCs w:val="16"/>
                                </w:rPr>
                              </w:pPr>
                              <w:r w:rsidRPr="008C662E">
                                <w:rPr>
                                  <w:rFonts w:ascii="Times New Roman" w:hAnsi="Times New Roman"/>
                                  <w:w w:val="105"/>
                                  <w:sz w:val="16"/>
                                  <w:szCs w:val="16"/>
                                </w:rPr>
                                <w:t xml:space="preserve">Зниження якості </w:t>
                              </w:r>
                              <w:r w:rsidRPr="008C662E">
                                <w:rPr>
                                  <w:rFonts w:ascii="Times New Roman" w:hAnsi="Times New Roman"/>
                                  <w:spacing w:val="-2"/>
                                  <w:w w:val="105"/>
                                  <w:sz w:val="16"/>
                                  <w:szCs w:val="16"/>
                                </w:rPr>
                                <w:t>природних</w:t>
                              </w:r>
                              <w:r w:rsidRPr="008C662E">
                                <w:rPr>
                                  <w:rFonts w:ascii="Times New Roman" w:hAnsi="Times New Roman"/>
                                  <w:spacing w:val="-10"/>
                                  <w:w w:val="105"/>
                                  <w:sz w:val="16"/>
                                  <w:szCs w:val="16"/>
                                </w:rPr>
                                <w:t xml:space="preserve"> </w:t>
                              </w:r>
                              <w:r w:rsidRPr="008C662E">
                                <w:rPr>
                                  <w:rFonts w:ascii="Times New Roman" w:hAnsi="Times New Roman"/>
                                  <w:spacing w:val="-2"/>
                                  <w:w w:val="105"/>
                                  <w:sz w:val="16"/>
                                  <w:szCs w:val="16"/>
                                </w:rPr>
                                <w:t>ресурсів</w:t>
                              </w:r>
                            </w:p>
                          </w:txbxContent>
                        </wps:txbx>
                        <wps:bodyPr wrap="square" lIns="0" tIns="0" rIns="0" bIns="0" rtlCol="0">
                          <a:noAutofit/>
                        </wps:bodyPr>
                      </wps:wsp>
                      <wps:wsp>
                        <wps:cNvPr id="196" name="Textbox 196"/>
                        <wps:cNvSpPr txBox="1"/>
                        <wps:spPr>
                          <a:xfrm>
                            <a:off x="68958" y="1630929"/>
                            <a:ext cx="1495425" cy="610901"/>
                          </a:xfrm>
                          <a:prstGeom prst="rect">
                            <a:avLst/>
                          </a:prstGeom>
                          <a:ln w="8953">
                            <a:solidFill>
                              <a:srgbClr val="000000"/>
                            </a:solidFill>
                            <a:prstDash val="solid"/>
                          </a:ln>
                        </wps:spPr>
                        <wps:txbx>
                          <w:txbxContent>
                            <w:p w14:paraId="62F03CD7" w14:textId="77777777" w:rsidR="00E62C33" w:rsidRPr="008C662E" w:rsidRDefault="00E62C33" w:rsidP="009646F1">
                              <w:pPr>
                                <w:ind w:left="511" w:hanging="7"/>
                                <w:rPr>
                                  <w:rFonts w:ascii="Times New Roman" w:hAnsi="Times New Roman"/>
                                  <w:sz w:val="16"/>
                                  <w:szCs w:val="16"/>
                                </w:rPr>
                              </w:pPr>
                              <w:r w:rsidRPr="008C662E">
                                <w:rPr>
                                  <w:rFonts w:ascii="Times New Roman" w:hAnsi="Times New Roman"/>
                                  <w:spacing w:val="-2"/>
                                  <w:w w:val="105"/>
                                  <w:sz w:val="16"/>
                                  <w:szCs w:val="16"/>
                                </w:rPr>
                                <w:t>Зниження</w:t>
                              </w:r>
                              <w:r w:rsidRPr="008C662E">
                                <w:rPr>
                                  <w:rFonts w:ascii="Times New Roman" w:hAnsi="Times New Roman"/>
                                  <w:spacing w:val="-10"/>
                                  <w:w w:val="105"/>
                                  <w:sz w:val="16"/>
                                  <w:szCs w:val="16"/>
                                </w:rPr>
                                <w:t xml:space="preserve"> </w:t>
                              </w:r>
                              <w:r w:rsidRPr="008C662E">
                                <w:rPr>
                                  <w:rFonts w:ascii="Times New Roman" w:hAnsi="Times New Roman"/>
                                  <w:spacing w:val="-2"/>
                                  <w:w w:val="105"/>
                                  <w:sz w:val="16"/>
                                  <w:szCs w:val="16"/>
                                </w:rPr>
                                <w:t xml:space="preserve">якості </w:t>
                              </w:r>
                              <w:r w:rsidRPr="008C662E">
                                <w:rPr>
                                  <w:rFonts w:ascii="Times New Roman" w:hAnsi="Times New Roman"/>
                                  <w:w w:val="105"/>
                                  <w:sz w:val="16"/>
                                  <w:szCs w:val="16"/>
                                </w:rPr>
                                <w:t>природних</w:t>
                              </w:r>
                              <w:r w:rsidRPr="008C662E">
                                <w:rPr>
                                  <w:rFonts w:ascii="Times New Roman" w:hAnsi="Times New Roman"/>
                                  <w:spacing w:val="-8"/>
                                  <w:w w:val="105"/>
                                  <w:sz w:val="16"/>
                                  <w:szCs w:val="16"/>
                                </w:rPr>
                                <w:t xml:space="preserve"> </w:t>
                              </w:r>
                              <w:r w:rsidRPr="008C662E">
                                <w:rPr>
                                  <w:rFonts w:ascii="Times New Roman" w:hAnsi="Times New Roman"/>
                                  <w:spacing w:val="-4"/>
                                  <w:w w:val="105"/>
                                  <w:sz w:val="16"/>
                                  <w:szCs w:val="16"/>
                                </w:rPr>
                                <w:t>умов</w:t>
                              </w:r>
                            </w:p>
                          </w:txbxContent>
                        </wps:txbx>
                        <wps:bodyPr wrap="square" lIns="0" tIns="0" rIns="0" bIns="0" rtlCol="0">
                          <a:noAutofit/>
                        </wps:bodyPr>
                      </wps:wsp>
                      <wps:wsp>
                        <wps:cNvPr id="197" name="Textbox 197"/>
                        <wps:cNvSpPr txBox="1"/>
                        <wps:spPr>
                          <a:xfrm>
                            <a:off x="3641226" y="820471"/>
                            <a:ext cx="1840654" cy="398921"/>
                          </a:xfrm>
                          <a:prstGeom prst="rect">
                            <a:avLst/>
                          </a:prstGeom>
                          <a:ln w="8953">
                            <a:solidFill>
                              <a:srgbClr val="000000"/>
                            </a:solidFill>
                            <a:prstDash val="solid"/>
                          </a:ln>
                        </wps:spPr>
                        <wps:txbx>
                          <w:txbxContent>
                            <w:p w14:paraId="7A7FD8E4" w14:textId="77777777" w:rsidR="00E62C33" w:rsidRPr="007E436B" w:rsidRDefault="00E62C33" w:rsidP="00E62C33">
                              <w:pPr>
                                <w:spacing w:before="47"/>
                                <w:ind w:left="467"/>
                                <w:rPr>
                                  <w:rFonts w:ascii="Times New Roman" w:hAnsi="Times New Roman"/>
                                  <w:sz w:val="16"/>
                                  <w:szCs w:val="16"/>
                                </w:rPr>
                              </w:pPr>
                              <w:r w:rsidRPr="007E436B">
                                <w:rPr>
                                  <w:rFonts w:ascii="Times New Roman" w:hAnsi="Times New Roman"/>
                                  <w:spacing w:val="-2"/>
                                  <w:w w:val="105"/>
                                  <w:sz w:val="16"/>
                                  <w:szCs w:val="16"/>
                                </w:rPr>
                                <w:t>Господарство</w:t>
                              </w:r>
                            </w:p>
                          </w:txbxContent>
                        </wps:txbx>
                        <wps:bodyPr wrap="square" lIns="0" tIns="0" rIns="0" bIns="0" rtlCol="0">
                          <a:noAutofit/>
                        </wps:bodyPr>
                      </wps:wsp>
                      <wps:wsp>
                        <wps:cNvPr id="198" name="Textbox 198"/>
                        <wps:cNvSpPr txBox="1"/>
                        <wps:spPr>
                          <a:xfrm>
                            <a:off x="185371" y="584693"/>
                            <a:ext cx="1214456" cy="634516"/>
                          </a:xfrm>
                          <a:prstGeom prst="rect">
                            <a:avLst/>
                          </a:prstGeom>
                          <a:ln w="8953">
                            <a:solidFill>
                              <a:srgbClr val="000000"/>
                            </a:solidFill>
                            <a:prstDash val="solid"/>
                          </a:ln>
                        </wps:spPr>
                        <wps:txbx>
                          <w:txbxContent>
                            <w:p w14:paraId="35EC6A53" w14:textId="60BB41CB" w:rsidR="00E62C33" w:rsidRPr="00265D4E" w:rsidRDefault="00E62C33" w:rsidP="00265D4E">
                              <w:pPr>
                                <w:spacing w:before="53"/>
                                <w:ind w:left="398" w:right="395" w:firstLine="76"/>
                                <w:jc w:val="center"/>
                                <w:rPr>
                                  <w:rFonts w:ascii="Times New Roman" w:hAnsi="Times New Roman"/>
                                  <w:sz w:val="16"/>
                                  <w:szCs w:val="16"/>
                                </w:rPr>
                              </w:pPr>
                              <w:r w:rsidRPr="00265D4E">
                                <w:rPr>
                                  <w:rFonts w:ascii="Times New Roman" w:hAnsi="Times New Roman"/>
                                  <w:spacing w:val="-2"/>
                                  <w:w w:val="105"/>
                                  <w:sz w:val="16"/>
                                  <w:szCs w:val="16"/>
                                </w:rPr>
                                <w:t>Прир</w:t>
                              </w:r>
                              <w:r w:rsidR="009646F1">
                                <w:rPr>
                                  <w:rFonts w:ascii="Times New Roman" w:hAnsi="Times New Roman"/>
                                  <w:spacing w:val="-2"/>
                                  <w:w w:val="105"/>
                                  <w:sz w:val="16"/>
                                  <w:szCs w:val="16"/>
                                </w:rPr>
                                <w:t>од</w:t>
                              </w:r>
                              <w:r w:rsidRPr="00265D4E">
                                <w:rPr>
                                  <w:rFonts w:ascii="Times New Roman" w:hAnsi="Times New Roman"/>
                                  <w:spacing w:val="-2"/>
                                  <w:w w:val="105"/>
                                  <w:sz w:val="16"/>
                                  <w:szCs w:val="16"/>
                                </w:rPr>
                                <w:t>не</w:t>
                              </w:r>
                              <w:r w:rsidR="00265D4E" w:rsidRPr="00265D4E">
                                <w:rPr>
                                  <w:rFonts w:ascii="Times New Roman" w:hAnsi="Times New Roman"/>
                                  <w:spacing w:val="-2"/>
                                  <w:w w:val="105"/>
                                  <w:sz w:val="16"/>
                                  <w:szCs w:val="16"/>
                                </w:rPr>
                                <w:t xml:space="preserve"> </w:t>
                              </w:r>
                              <w:r w:rsidRPr="00265D4E">
                                <w:rPr>
                                  <w:rFonts w:ascii="Times New Roman" w:hAnsi="Times New Roman"/>
                                  <w:spacing w:val="-2"/>
                                  <w:w w:val="105"/>
                                  <w:sz w:val="16"/>
                                  <w:szCs w:val="16"/>
                                </w:rPr>
                                <w:t>середовище</w:t>
                              </w:r>
                            </w:p>
                          </w:txbxContent>
                        </wps:txbx>
                        <wps:bodyPr wrap="square" lIns="0" tIns="0" rIns="0" bIns="0" rtlCol="0">
                          <a:noAutofit/>
                        </wps:bodyPr>
                      </wps:wsp>
                      <wps:wsp>
                        <wps:cNvPr id="199" name="Textbox 199"/>
                        <wps:cNvSpPr txBox="1"/>
                        <wps:spPr>
                          <a:xfrm>
                            <a:off x="1684961" y="584092"/>
                            <a:ext cx="1592024" cy="726889"/>
                          </a:xfrm>
                          <a:prstGeom prst="rect">
                            <a:avLst/>
                          </a:prstGeom>
                          <a:ln w="8953">
                            <a:solidFill>
                              <a:srgbClr val="000000"/>
                            </a:solidFill>
                            <a:prstDash val="solid"/>
                          </a:ln>
                        </wps:spPr>
                        <wps:txbx>
                          <w:txbxContent>
                            <w:p w14:paraId="29CF0FD2" w14:textId="49C9A6A5" w:rsidR="00E62C33" w:rsidRPr="009646F1" w:rsidRDefault="00E62C33" w:rsidP="009646F1">
                              <w:pPr>
                                <w:spacing w:before="13" w:line="254" w:lineRule="auto"/>
                                <w:ind w:left="220" w:right="223"/>
                                <w:jc w:val="center"/>
                                <w:rPr>
                                  <w:rFonts w:ascii="Times New Roman" w:hAnsi="Times New Roman"/>
                                  <w:spacing w:val="-2"/>
                                  <w:w w:val="105"/>
                                  <w:sz w:val="16"/>
                                  <w:szCs w:val="16"/>
                                </w:rPr>
                              </w:pPr>
                              <w:r w:rsidRPr="00300006">
                                <w:rPr>
                                  <w:rFonts w:ascii="Times New Roman" w:hAnsi="Times New Roman"/>
                                  <w:spacing w:val="-2"/>
                                  <w:w w:val="105"/>
                                  <w:sz w:val="16"/>
                                  <w:szCs w:val="16"/>
                                </w:rPr>
                                <w:t>Використання</w:t>
                              </w:r>
                              <w:r w:rsidR="008C662E" w:rsidRPr="00300006">
                                <w:rPr>
                                  <w:rFonts w:ascii="Times New Roman" w:hAnsi="Times New Roman"/>
                                  <w:spacing w:val="-2"/>
                                  <w:w w:val="105"/>
                                  <w:sz w:val="16"/>
                                  <w:szCs w:val="16"/>
                                </w:rPr>
                                <w:t xml:space="preserve"> </w:t>
                              </w:r>
                              <w:r w:rsidRPr="00300006">
                                <w:rPr>
                                  <w:rFonts w:ascii="Times New Roman" w:hAnsi="Times New Roman"/>
                                  <w:spacing w:val="-2"/>
                                  <w:w w:val="105"/>
                                  <w:sz w:val="16"/>
                                  <w:szCs w:val="16"/>
                                </w:rPr>
                                <w:t xml:space="preserve">невідновлювальних </w:t>
                              </w:r>
                              <w:r w:rsidRPr="00300006">
                                <w:rPr>
                                  <w:rFonts w:ascii="Times New Roman" w:hAnsi="Times New Roman"/>
                                  <w:w w:val="105"/>
                                  <w:sz w:val="16"/>
                                  <w:szCs w:val="16"/>
                                </w:rPr>
                                <w:t>природних</w:t>
                              </w:r>
                              <w:r>
                                <w:rPr>
                                  <w:rFonts w:ascii="Times New Roman" w:hAnsi="Times New Roman"/>
                                  <w:spacing w:val="-10"/>
                                  <w:w w:val="105"/>
                                  <w:sz w:val="18"/>
                                </w:rPr>
                                <w:t xml:space="preserve"> </w:t>
                              </w:r>
                              <w:r>
                                <w:rPr>
                                  <w:rFonts w:ascii="Times New Roman" w:hAnsi="Times New Roman"/>
                                  <w:spacing w:val="-2"/>
                                  <w:w w:val="105"/>
                                  <w:sz w:val="18"/>
                                </w:rPr>
                                <w:t>ресурсів</w:t>
                              </w:r>
                            </w:p>
                          </w:txbxContent>
                        </wps:txbx>
                        <wps:bodyPr wrap="square" lIns="0" tIns="0" rIns="0" bIns="0" rtlCol="0">
                          <a:noAutofit/>
                        </wps:bodyPr>
                      </wps:wsp>
                      <wps:wsp>
                        <wps:cNvPr id="200" name="Textbox 200"/>
                        <wps:cNvSpPr txBox="1"/>
                        <wps:spPr>
                          <a:xfrm>
                            <a:off x="3212909" y="4475"/>
                            <a:ext cx="2597843" cy="528301"/>
                          </a:xfrm>
                          <a:prstGeom prst="rect">
                            <a:avLst/>
                          </a:prstGeom>
                          <a:ln w="8953">
                            <a:solidFill>
                              <a:srgbClr val="000000"/>
                            </a:solidFill>
                            <a:prstDash val="solid"/>
                          </a:ln>
                        </wps:spPr>
                        <wps:txbx>
                          <w:txbxContent>
                            <w:p w14:paraId="6D34A03E" w14:textId="3093C5E5" w:rsidR="00E62C33" w:rsidRDefault="00E62C33" w:rsidP="007E436B">
                              <w:pPr>
                                <w:spacing w:before="42" w:line="240" w:lineRule="auto"/>
                                <w:ind w:left="482" w:hanging="312"/>
                                <w:rPr>
                                  <w:rFonts w:ascii="Times New Roman" w:hAnsi="Times New Roman"/>
                                  <w:sz w:val="18"/>
                                </w:rPr>
                              </w:pPr>
                              <w:r w:rsidRPr="007E436B">
                                <w:rPr>
                                  <w:rFonts w:ascii="Times New Roman" w:hAnsi="Times New Roman"/>
                                  <w:w w:val="105"/>
                                  <w:sz w:val="16"/>
                                  <w:szCs w:val="16"/>
                                </w:rPr>
                                <w:t>Ф</w:t>
                              </w:r>
                              <w:r w:rsidR="007E436B" w:rsidRPr="007E436B">
                                <w:rPr>
                                  <w:rFonts w:ascii="Times New Roman" w:hAnsi="Times New Roman"/>
                                  <w:w w:val="105"/>
                                  <w:sz w:val="16"/>
                                  <w:szCs w:val="16"/>
                                </w:rPr>
                                <w:t>і</w:t>
                              </w:r>
                              <w:r w:rsidRPr="007E436B">
                                <w:rPr>
                                  <w:rFonts w:ascii="Times New Roman" w:hAnsi="Times New Roman"/>
                                  <w:w w:val="105"/>
                                  <w:sz w:val="16"/>
                                  <w:szCs w:val="16"/>
                                </w:rPr>
                                <w:t>зичні,</w:t>
                              </w:r>
                              <w:r w:rsidRPr="007E436B">
                                <w:rPr>
                                  <w:rFonts w:ascii="Times New Roman" w:hAnsi="Times New Roman"/>
                                  <w:spacing w:val="-12"/>
                                  <w:w w:val="105"/>
                                  <w:sz w:val="16"/>
                                  <w:szCs w:val="16"/>
                                </w:rPr>
                                <w:t xml:space="preserve"> </w:t>
                              </w:r>
                              <w:r w:rsidRPr="007E436B">
                                <w:rPr>
                                  <w:rFonts w:ascii="Times New Roman" w:hAnsi="Times New Roman"/>
                                  <w:w w:val="105"/>
                                  <w:sz w:val="16"/>
                                  <w:szCs w:val="16"/>
                                </w:rPr>
                                <w:t>х</w:t>
                              </w:r>
                              <w:r w:rsidR="007E436B" w:rsidRPr="007E436B">
                                <w:rPr>
                                  <w:rFonts w:ascii="Times New Roman" w:hAnsi="Times New Roman"/>
                                  <w:w w:val="105"/>
                                  <w:sz w:val="16"/>
                                  <w:szCs w:val="16"/>
                                </w:rPr>
                                <w:t>і</w:t>
                              </w:r>
                              <w:r w:rsidRPr="007E436B">
                                <w:rPr>
                                  <w:rFonts w:ascii="Times New Roman" w:hAnsi="Times New Roman"/>
                                  <w:w w:val="105"/>
                                  <w:sz w:val="16"/>
                                  <w:szCs w:val="16"/>
                                </w:rPr>
                                <w:t>мічні,</w:t>
                              </w:r>
                              <w:r w:rsidRPr="007E436B">
                                <w:rPr>
                                  <w:rFonts w:ascii="Times New Roman" w:hAnsi="Times New Roman"/>
                                  <w:spacing w:val="-12"/>
                                  <w:w w:val="105"/>
                                  <w:sz w:val="16"/>
                                  <w:szCs w:val="16"/>
                                </w:rPr>
                                <w:t xml:space="preserve"> </w:t>
                              </w:r>
                              <w:r w:rsidRPr="007E436B">
                                <w:rPr>
                                  <w:rFonts w:ascii="Times New Roman" w:hAnsi="Times New Roman"/>
                                  <w:w w:val="105"/>
                                  <w:sz w:val="16"/>
                                  <w:szCs w:val="16"/>
                                </w:rPr>
                                <w:t>біологічні</w:t>
                              </w:r>
                              <w:r w:rsidRPr="007E436B">
                                <w:rPr>
                                  <w:rFonts w:ascii="Times New Roman" w:hAnsi="Times New Roman"/>
                                  <w:spacing w:val="-12"/>
                                  <w:w w:val="105"/>
                                  <w:sz w:val="16"/>
                                  <w:szCs w:val="16"/>
                                </w:rPr>
                                <w:t xml:space="preserve"> </w:t>
                              </w:r>
                              <w:r w:rsidRPr="007E436B">
                                <w:rPr>
                                  <w:rFonts w:ascii="Times New Roman" w:hAnsi="Times New Roman"/>
                                  <w:w w:val="105"/>
                                  <w:sz w:val="16"/>
                                  <w:szCs w:val="16"/>
                                </w:rPr>
                                <w:t>зміни природного</w:t>
                              </w:r>
                              <w:r>
                                <w:rPr>
                                  <w:rFonts w:ascii="Times New Roman" w:hAnsi="Times New Roman"/>
                                  <w:w w:val="105"/>
                                  <w:sz w:val="18"/>
                                </w:rPr>
                                <w:t xml:space="preserve"> середовища</w:t>
                              </w:r>
                            </w:p>
                          </w:txbxContent>
                        </wps:txbx>
                        <wps:bodyPr wrap="square" lIns="0" tIns="0" rIns="0" bIns="0" rtlCol="0">
                          <a:noAutofit/>
                        </wps:bodyPr>
                      </wps:wsp>
                    </wpg:wgp>
                  </a:graphicData>
                </a:graphic>
              </wp:inline>
            </w:drawing>
          </mc:Choice>
          <mc:Fallback>
            <w:pict>
              <v:group w14:anchorId="4D28024A" id="Group 167" o:spid="_x0000_s1027" style="width:335.3pt;height:227.9pt;mso-position-horizontal-relative:char;mso-position-vertical-relative:line" coordorigin="44,44" coordsize="60733,300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2rSqiQAABzZAAAOAAAAZHJzL2Uyb0RvYy54bWzsnVtvG9mRx98X2O9A6H1j9r1biCfIxptB&#10;gCAbILPYZ1qWbWFlUSE5I+fb769OnSJblFjV7Xik2FB2E2pGpcPqc+ryr8up/u3vPn+6Xvxyudle&#10;rW9enxW/WZ4tLm8u1u+ubj68Pvufn/74H/3ZYrtb3bxbXa9vLl+f/eNye/a7H/793357d3t+Wa4/&#10;rq/fXW4WLHKzPb+7fX32cbe7PX/1anvx8fLTavub9e3lDb98v958Wu34x82HV+82qztW/3T9qlwu&#10;21d3682728364nK75d++0V+e/ZDWf//+8mL33+/fby93i+vXZ/C2S/+7Sf/7Vv731Q+/XZ1/2Kxu&#10;P15dZDZWX8DFp9XVDV+6X+rNarda/Ly5erDUp6uLzXq7fr/7zcX606v1+/dXF5fpGXiaYnn0ND9u&#10;1j/fpmf5cH734Xa/TWzt0T598bIXf/nlr5vF1TvOru3OFjerTxxS+t6F/Au25+72wzlUP25u/3b7&#10;140+Iz/+eX3xf1t+/er49/LPHw7En99vPskf8aiLz2nf/7Hf98vPu8UF/7Ium74qirPFBb8r+6Eu&#10;u1ZP5uIjxyd/V9ddebbg1/zQ2O/+K/99u+yqquL38vfVcllWQzrZV6tz/frE5J6pu1tkbXvYzu0/&#10;t51/+7i6vUyntJWN2m8nkm/bqeJVtL1uaKKT3Uzbuz3f5o092qu2Hxp96KobhjpviW1aUfddv2z0&#10;oYeq6MtSVt8/8+r84uft7sfLddr+1S9/3u74NRL6zn5afbSfLj7f2I8bVEaU5Topy+5sgbJszhYo&#10;y1vd9tvVTv5OlpIfF3eIjrHy8fVZX3Y1XMmvP61/ufxpnQh3coZFBcMImQkArB5Irm/GpIhAUyXK&#10;blmmB4fYSOzzNq3atHVZJ9KybYYi74HR2KfSKoUwoH+l+2U09qm06YuFVHnxSDEs0OXHiwk51+XS&#10;BNS+1D6PvryryqapJz5U1y2rvnKJD7vVoyeFv7WHU+iLoev9vR2dbl+2/TLJ+slTK6p66Gs9t0nk&#10;Q1UvVSKm8FJXRVll8vg5i7otlq0yM2EPEfdlW6ogTzgf0Y42K/KEox+TTxCpMTOxpI6fNFaBYrSN&#10;sXIV1eGMQq0dn7+vCiO5Oia8uF5vL1XfxBQl47c3T4je2ABe34ilwqJWyTZt19dX7/54dX0t5mm7&#10;+fD2D9ebxS8rQQnpP1mJ7pHdbra7N6vtR6VLv9rrWnKEZsnFwbxdv/sHruAOaPH6bPv3n1eby7PF&#10;9Z9ucDaCQ+yHjf3w1n7Y7K7/sE5oJVlOvvOnz/+72twu5Otfn+2w/39Zm89ZnZth53GFQGnlL2/W&#10;v/95t35/JVYf/2cc5X/A/4lrfxJHODx0hINsnHw9DjN2hGU3tFgfMbJduewfeMIC7FSzq8n910PZ&#10;mKCYQx0Lgm3Yr+MJjRU8IRZOOJGzOLg5Ne9FUQyDAB6eyHg90Nx3BepcjMp+Z5+6ntLIF+IKPQc0&#10;/uKZ5McczFG+e2p0T9v+mP7zUNuSxCouOsjuizadFR1nfQQr+VdztKkCTXY16DSrU5n+fHVuwLKs&#10;8G4Nvxd1ajHqhUGKp1enrqp7+Fu8AMsUi52EU2oAJqCLPaqdAFwOaHkCKPqXAZbN0NZLDZumAEsE&#10;fGiIopD1KcCy7ToBwol8ArDslh3QUlUtBudFV3b8V8lj4F+gHeDyRD7h6MfkU4DliJkJwHL0pBOA&#10;5WgbJwDL0RnFwHJ0/scu677TfAGW3ziw7NDDY1eYYtTJwLJqa+JEMxbLpky49OAKi2pZdGA4TUwR&#10;GJQp94QZfnpXaKzgCkl8CiePIkvIqkFDWRP/fx5ZglaH3s8VyFbZF88kNz5NPV+QJZHj08dp4niO&#10;1SmlFCerEwnOemjVO6JWVUciEGQ60qe+KpM/TNCygNrO/un1yVhBn1rl5FF9WpaD2JkJgVpL5lpd&#10;fb8cDDKbTNunxmvoSkNUzKL8ROLJC9lYTL9f1jfzY8vZ5zgMLJRlb01lsyF3FKQL919OEnJofQtw&#10;eKimBzBaNtpYtE9l9bBZ7XLoOn+78hPJfrVF12td4iQWBkERW2dYNIW8HcgfKIqawEu/LIaqTeQT&#10;npO0fL0kFyq8T9jDAqnkaZU8Pp4x+YRjHzMTS1MxetJYTIvusI2h/I+PyCyAyYd9qpyMjv6YcI6b&#10;eMn+aT7yGbwKWfhjr5K0fbpXGZZ9D9wRFSrrtim0yDPyKmVNVJYrYWVNOGcW9em9irEiKE05edSr&#10;QNZi9OSRTKz/eZQmX6gI9rRtHH3xTHLj0/Rzjvq95P9SN8OsKr2l+LOeWFm5A9sf61MS9+n6JChN&#10;8nsInxSW1Z2O1Ikq6lBnderB9G2Kip4l6DFWJP+nnDymThXFyU4fCKqqNjRxSqVG9G05NPv8pom2&#10;fWYXBBNNtj8zycslRU4fCI14mUd9rI/3mVaER3qoBb16UHD0/ff2zpabo+YvXvbZvCzqemwVUqww&#10;3SoMXdkStiSg2tNtk+r3I6tQLetS4hsJ3eqqLbEQKldP72SNFaxC5uQxq0BGgoaTabGbqssklaoa&#10;jI2rUuMvrueRH3MwR/tenOzXc7LEd8fqlILf6epEWaHNDStF1QzNcKxPNJGk0pboU7McSq3iPYuX&#10;NVbQp8zJY/rUVFTep7VvTVEnkphqbaqq7gxhmNexz+yBu7bVmJgsZGV2x2jsU2l5FjCwWLGCzMIe&#10;ChiRfSrxUFIQT8RlwdIWNhiRfWYuih5vrtR110dGoO6HIlNTbYV/zwsXfUEIk9amf7ErDcEYB/ap&#10;nJRFRxukUpdNTfLCW5sGMvZEqSXhc2xjjtYWxKDpDfJ30QbSlLXMMlENNIz6fFd9Q24mcVIXS2nF&#10;8fiuK2xnpi77rojOnX4GFai6Zu/9/W6qpqKNRMSkboa68JvVGhJ7+SxxjOW+CGA7Z596Om1dV4LS&#10;ZW3SORyU95QdafOcfaJ9ow6esqO6ZY2wGJhAYiloVjkd2yylG8XlpEdKBPYne9QXtM95fFMSRIMz&#10;NXoUaDBqab5YTExIXvRwcODF5xwD2w054ycPWvkKUZRDjwrpCUn8E5FXQ58zfnJEYYtND07SnZHz&#10;b/zzL4qya3IJSoSLL/K2vaDVuW8OkhvF+/R48oT6qDXpdt/EgQEpWCs1Khd03spelGo+RZ0jYex6&#10;ScyIeImpwJJ6z9lXjYmXmKHAVHRIYz8ycb4wdk0D68qJmM+AuqTWpk8ppjkwn23P+aho0Qjd70Nn&#10;MxH2mU1F09W5+QA7ERmttlo2Gc8mdxUZrbbOzQHJE/oq1DQtdijtifhYXwjZszoXRWLn/QhssE34&#10;Ouj2TfmmemNPNwLBLy1kp1JIyOcxuk1G6uuh27IFLErO5PnR7Z4VH93eh6ynMkfdkE11ywP6QKqi&#10;pTwDURx8gHAxh2AQsY0F2e7WX7l4AaLUlM2IqCV9AaISst3fkxcg+nBP5LrEHCCKq6u4WJVBcRng&#10;J6r6wzLHLA3tRMEtn6Jt2gNu5aJToPcdLWs5kgPk1pUPoaQiC2JJvNdk9PTe3OnSUF8CoxX/1x3B&#10;lx9BFVxqIdeuq7el9DN4eK4gwUGbhZIDi7Uz5DQz9ARg5pS8Atv5wQgQjWuBGbgWTRdAUUDuEkyf&#10;Vif/TaHb5Z0kARcK1ZZX8AXm9R6VvWj4f10dXFX5OwOUI4jOALMqaW/wV6c9WzqyE47GVQTFixL3&#10;N2TYXXLJkuDR5b0cSMaovJcNtdZg39ENJDgxU5Z92/uQtCTT0+TkAmGJdNa5zFSsjZAnt9imnnWX&#10;HJdsgXcxgbwAmWYP7fNRgI1rTnEiHzRlLFt6ZSaTL2n61dWRY4m/vKckTzT0Ro6S1r50kSkirMgH&#10;2nJLNLIZRV2jPcI7XTQ9KTqXmZbMHFZLyCuQS5BhKEje2c5UZLCiwJvCG2eqq9PgHJnHhiUJ/RMz&#10;lOwKX9QLiqCFZV7oAg3yNOwLYb3uDNfiEB1/Zyp6FmjXEmZIRzXct3A3sqoQsWyr24qMgE9ednRC&#10;ZGak8ca3SFgsDFImR3gCI1CwNbWR06dA6svlfcnR5EizbhHJgBlxqOye7gx5VH9npDkMGU/UeA3u&#10;D3u8yI0ry+xIZsXfxr5rarldItKL8AYYvRcDp3xXyL1emznpwTqK7DnDiKeuel9NyedW+fix0XLZ&#10;zXvKjsgiGxhkstk3URr8s8+cZCDn2qskli1JO3+/uU1tJpoWTiyGy0mLbeTRZAfpoZPr6h7fpF2Q&#10;j0TNPSYa/31qhgJkn15QewxS+QA1kld6lg176C/9sJRhe2afune64LF7mJO3eKmJP1tNHM9xnOZI&#10;sj85zdH2DVZB5bWiCEAiFfE+1MTBPig5MiJZjgJtAfdluXvyovieF9IcxspjVTxSqeJIRWP5kcxg&#10;ZvhUxqPlKn/OeZBkl9Szp+Ej6q7BXNp2mFbZp2oXXlHKUcLLBGppWsrWgwzuMnCRAmNyeIJxbYNU&#10;NjU0zLtyUvZF7Vs9uh8IZ5Sau5L4Pm9PMOwym0OesmUHA4sKdqTBQKnFDfsWteyxqcrJhNMZUdux&#10;24HYp2f2HqOZ8q2UCPV5yr4PTo38mj6NAMvAC+In7RBKcZr+IdBFr9BQvGuAgmnOBDzKgfUAJyTU&#10;O962I95UYkgDVDAsJRxMKwNVAi9VFJS9FbUNuPCAj6JuqswIpRgmrbhcs1+UHhInBGJlUEaiJx3/&#10;mqhpyAbsBVJJl27Gvvwh9SofcpSSnND9przFj/7qxDyU1jMzbEvATNVy2VAPiGI/Ma0vKFSyDJ0C&#10;IAdJE3inT/kG4VNm5P5TVEmmjmyPyoHxx+7qIwMJKCfh4tvTkfWdS47zkoDCe9RTnsPMwgNUxESK&#10;PCBoqnMSOiKbtJ2EOIdpBqe8k8xRSJOj0NV7f2BM2afatTE5t1SZhuI+8ZidmeSPMvNgh4geTs0r&#10;GRWyjgaUvIxMkJlvj81LO1XvwuIeA8EUjn05EEx6eACCZNhk6NW/Ag40Vn49GCjoMrIVMy3RTDtH&#10;jI/HyEZXrKgP18RGg+jE60omlyu/rtYnD6BOOnmAIEEh/iWH1+pffMebvFeOgekOJ8XpMpN8o8LB&#10;5BuDiV1khdqMttTzBqsf+3V/IxNo0H1PoCGgBpDk3EACJAE1YCejewE7MY4iH2A4KujgAKFxzTER&#10;g9CC1iPBfhmhgRYC4gpUqSAqoUpfrti9DG7p74vwKh0tOQgACAdpLJl+lB6PO319kCZREDcBtSuh&#10;L8uT44kR4YSvJvHMADl9oqLpg0xrCq9ygEF4FQR6KXTT8yWLRrXD1T4JC3MCmoZ42sx8agk5lZMU&#10;cvphoYSzGYGncNbf6pGFnBAqj8zvPOoJpzMbBjog5yU59lzJMcLDY0ykEeNkTCSDWGlZS2pagMFz&#10;gvYAivC1LffcMyoS3UDcNcB48uzYnheBRZmVx7Jjvdob8RWmj6dCD1Sd8Tvp8WuKPYPvaeXprdg0&#10;i5rSek8eywvMiPatmi3th0HDKWFPk6s1nRyJb6Vaxjhk70LjBNbT50S66NUh0sQkoMvle1lTDkw7&#10;SNcEoNKlJp0ozZdyNASJbdBaIXXG3Mww9MswLKdAlvkm/A+7tUZHD3nD9FCXc2V6BiUCWgU+f8zC&#10;BHIyvcsMKBB/Otj9rAa3VWqDkTUiEh07aSr4laMhdUpp1JdXAnupWSVyKmn0YrjbR5vAkK9/0JSO&#10;1vm7LfO5ctcLHa10IfoiS3bb6uPUC2u0zWWGLHGVvTY1Y25K+Mz0VKFzOzC5B9TUl3FpuTY5pGK7&#10;3GfnLY1hn5rOoLJvik/osZR7BJ6+DchArmDTm0gUF5DLZK5s30GYyyAdi32jhqr6CbAKOqVAETSy&#10;KDVhUJDD49CJ+RI1TeSk5fzn5FisUDBwj8C3cBSYmxxLdIR+QRF4ICOcy9EtQUpgPYGjdGwlvifY&#10;8RH1BI+CSyProFo3gfwRz2bC9JKWepZ5S9LKf5SWUhV7gWC5zSKCYDNVYJ5+jagn6e4suzDP5syz&#10;Z/Ns5Tw7PM/Gz3Qg89zTTOc317XOdNwzYcE80DET0swFTPPgmDQVW3cj0Ik0huuMubQk95oUG9Jv&#10;EAzvoj7HDK5M3oDy/QrNTBicQecEwJwpJ6D7MQsTyJt5ocbMOGZWjNTOir9Ii86J7ebFjfNi0pnx&#10;7j7ynmDH58Xpo7N/Ogj2kjR7tqQZduwYsaXocjJio1lSxskSKMtPR1VEQgUuFxBxpXYyeoYP90ee&#10;PGG250USZpmVxxJm0kUtBbVk3xsyC/umzlN5s2xZ79FaJGKf4y4k+XYum7hO5h4Xc+kf5eRBTHRo&#10;Zpi6NdC1pPjT1tAXfRgEdWpnqAWSL9CIm2tHXDVxH5rUSc1c3rQ+OYnoJkBF9YlZA4mcSaJDEOjS&#10;78g1aY25S+46BjdwKqnC5lkDJZc2gtwCt7vlZoKKDcwEKSDeAtDsK748dnAFn7sF5EQ1D0m6axnc&#10;fOLuIK/oyXJJaorcgZdGqUhr07auvHOTKHpU6ewnTyAawqvNtIf0ZNu4NJFKQkyoealZkLug154U&#10;rh4S5xW0W4K+aKnJGQMmYPjpHzKG+9cW8chBPxmt+eQj1A4wwyC4TFHStUOlWreQmqy/4XRh1WTP&#10;dAfbINFOuq1KN4/ZQOYM+M9ITY/RbjkFHbTRy3V+pDZxYYGp2Sv7VLslgzHI9U2hJK1mNxCkj9MT&#10;Oxr3sSe6aoWQBMQkMnN3JJkff38ZEkd2L8s/A7UiavQpLy2zUPy9wHrzIq7MNUVvPxnLPShutKkU&#10;MdEhvttEx7WeHtdbgow5V8IYHqyctANK5m4gU5m5eKJrY5RJbHpnQxs1JbActlBACFLUpHZx9WZw&#10;yNv6h0kbAtFo9rEkfAO/QG8MLi1bP7pBguoR1olrcOqmRGai2z5IrDVWk/+Uq2juzlDIoA6YdIGE&#10;L0Y/IOcSSd5IlJM7pj45vdeNSRdjZYJokWPkalX2mJBHV1wRLruWf8+Bm7rbZ1Z7LqyKkxfTTWNI&#10;uDrV/2VucxDyiHe66ZFa3UiucCl4POlHKBpycUsflUZjvLm/kQO7nWsydF3KyHH3VEnIS89wQn3U&#10;14KiCfaQ2VBZgHnxjM4WPMk7t6wZ/aSain+LrgliGHu5k5uYKZPWeryDThrrx8fFcWbuo2JHpds/&#10;rc6VvkA7cK+MXFLd67id64svW8hIHl1betT8TArXs+kq1bWlyuYrHsVXmmh0bb4mKJdSv5P/ywda&#10;BQUW3s1JS3Vu02W0nS8sICra/jMOZh67717AP9z6NaPOWAz/dAiYKCAmvsmScnHCPXoAjU1DooU8&#10;mBGGRnAZznAe9zaCxSl70i6exdCiu9NCzpwP3nOr5OJggtWRFF7Io+R0F4UACy+RwT4t0pQq3Y3h&#10;3oJc5E6ro/5odEBO1thskczj9v0XGUBmIWRxkTtEAblcxs1RMhcn66DlEXjNy0lU/Rm6KMDLk4GK&#10;7gcrhYtRj1Y/FcSZ7X8QKHLiLz3dv/rblaWh8zgVkw5+ciqGvg0CYpV5ca0J4Y26l+h7SWPcJBlD&#10;OHm4M/TkuRj0QVkhF5M5eSwVw21nOpKSDpv6nso04NRoeEmk1BZcfSFm5BpuIiUi9H2OVM/t/paM&#10;yvT0kPgzgx8eL4CoGSkze8n/fmoNhh1prgwgO1Awu8cap+S7GXCxJTcYpklHqPdkOVuSInhckp2F&#10;GQz7zKBRbLOadfFIPjFhsAwrTEBniUMKLJ26OIVFJuAn/RGQq7V5VeKO/NMDLAwWwIg38rdPOjaI&#10;KhMn8t5T/xSJ5PYhAL4oGBJBDyL2P60NzmVeiHs2LR0b+XYl1/2ji2mtDPDTtZMj8s+dfjPCYdUU&#10;/FCA/Zj4Jf06sicT3JCYgP0MynEu0aTJPlWqiBa5C6icp0yifz68tDY16wkzkkkMbqVhOkALynvK&#10;JPqyIq1JjJbXI5JMog+KIaZNKQNXMokMovC0jaIxadMsXAzoDe7rMfGDyDuDOjKJAahD+iwblxKJ&#10;PusybsnuPUoe0eecxnbI07YIT8Gms4MMz03UkkX0D7RjXJG9dpIkom8JOxpTc0sTGcTAHdBgyrU5&#10;FVtAvY/kCBLplkvEkkH0VZMuQ5uDKglEPxZqiMqy2SSBF+RUmfArk0BEutFnf2HSK81+oHEwpEos&#10;Zu4FJG3lSukjvtk09usAyJchmDMvBUph5hhAJn2dDCBBQ8TjagYfAZASfTNgRqt5zwsg96wEAFI4&#10;znHavXzXSRiJAeUSgFoDKVj5VonQHseU/WnsZnAxRJmT3QzjynCRmTx2M+QwuAuYE5OxmxEgImFx&#10;wjCxm+EeHo5jspuRQcpkhHV1KVgF1oSwVVLSiZnY0ZCAZ9qO7swET8MRpZlCyV6GroZ0AVPG1chL&#10;wcr3NQy7I0uq2xg7G1J1JEmnehvygNysUDsfuxtGrZEKNnGJ/A0lEvBuPqDQ4fCQSxtdFHocefck&#10;Vx/TYTKFyndPRCq0DqrURj6HWX9ymTEt7McVvC0RQ6YsRJR0cOXUbDh1bCmzofSsyYn63p8UzjJn&#10;FKlX+UyQzSRhnpVFsq0ePkQi9qlK4LlvobB/NKDpUVCs8ok7CoK5hC21Kj844M4D4UFamVJVwDO5&#10;cuupAK9EgQThcy6lSqHKx5xEP3JbOhkOqVP52kppRWqzambYc/8IAaW86ESppUrlH2INhMuug+oZ&#10;sNI9RTCnTV6WGlVQK8H6yys0hG8pUQWZAHlvRD50qVAF281QP+4L6NpSoPKlD9wnLzcVTibUeLKu&#10;xLUjXkNAa0la9p6jNkxpnzkaJChhBNGei+DUyXWYek3gGQONudP9kLKUf4504VoDlFSlAg0jUWsJ&#10;+AlFKZLv+54CrEl0g5w5mmbQpSTlawJhY6pzJFUACgS39rleQx0965mUpHwpIUJGTvehoOynZ9Ik&#10;/rYX0klJKqBmHq29iUhKUn7yhXIKXfUq3zLaxj9OABqJJWVcSlIRNdckMw6RyTq+qWI8TpqEnrY8&#10;TP1RIafGpaYbEQtUnhHBuEbjO8z+cZtoHyGH6T9ebcHbYvTspSTlm0EK4tJEkfQnTgDSH4Him6CE&#10;GUCgBaXZDFrlpAIhp3wtjSVpx+McIPUzpjxljBsnAYFQpDCyTsRZQKpWTN/LBxqnAYFzTExQ3ifk&#10;AVE3mTBmZitKBPJmxmE/+1NKUr6zLym98t+0upSkIpcinVP5JvWEXGCK5h4L08zqz8kovDQTP1sz&#10;MbJ9nIBIbmJyAkIqWI11NJEUTEJ5qGDRsFbhBLWbGPE1H/Tk9StjRFqJEx8nqlf21iSzmCfTDhLn&#10;54gzSFfiKYfcvDGheiU33JPSklH2nVNDr65ajy+vXuVCMa/kPl0xflHPZ1NPjvdYPVNWZrJ60pyL&#10;/uXshXQvg+lG2snrBmkoVfXk1jctyyb3T6+gxgsaaqw8pqMkj6RhVgGCDNvfN/+dUlWKXBYdAA9H&#10;f2C+yj41UhmTk1yNXoTDgkyQVXYkhxL00ACVpSlP4E3qSAuqFx2RnuUTiZTpMXNROb2tMkFcV5e+&#10;SB8MkxCQlzEouTypj8sFreQmTcBIeg4vRGAyKs1LeXVJIZjxt/22T913Mlr03HwJubzXIzomkJnM&#10;yE2PCrUw5vE+Zobmg5o2gank6JCk0jzy8c5MIacwl6e70Z9H36DPO+1oJGH0UQmMmTDlMkPzquXP&#10;GZ9D74T/qHRXmPqRMabN3U8TMzGWyDYzs5QeepcZuhUBDErOe+GZOOWS463lUkg6VfArwx98ctLt&#10;ueUEJUx1AO+YmFGNtdHV5U2EQcaHXCg9LZmcod1R5ziFV5vDih4SDPjnRLJ9aHP6jk4Q8sy+PklR&#10;mteKKj8JIUT0o8dlBK40Bnq7I68WI8Om68NblPZjK+WyZ6JnDIm8fjFYf2ToJ2j4acdgduZBTKKY&#10;Z3GHLZ7qfZh1zZWk9BAma6f8jsa8RmVM2KcavZxt4zZP0AhKonL/xRQW5pAfc/AVtkG2i1qXnr30&#10;GtVmkk5tBorHRe3smu79hW2IfeZ84ZgeoyCv1vSk8R5Hc+kf5efBNjkQ+WVQ7ld77blYlGPMmwzR&#10;dMzLC1q41aCGRl6Bo2WfA+ylWyulu9IVVzwqTe1Ztp4c9RorEpZmTh4DvWomCK/J+2RWTykaLtn6&#10;H1kR4OJb2TE5Blpql56a8WYdrvfr1k4hB5BaM9JS0nPGvSm7farSk9PiXWV5dQpQQWFD3pqdXyOB&#10;+5RBDS7vtJRTLMmrU6/imoz3qITXZP4zOTmDAHXRGFVk8gHQHrQhSA9gtoZkI6qgYpZuzaon52wJ&#10;2VzGAdp9Lk1ypzVy41x0sBcRC/gKQAhvQKenIG0KU06jvl1qDnLpR+AZgi6DvLwNpzZprwpM7WA+&#10;/KBTi2ptWpvbZVHtXArWGatAGl2jAHhYfQ2vG91y4TaJyZWM4A7uLYyofXGVaasZvk0mnPD95Ovk&#10;upGcCaFENLaai6lDHj5LM0lUuJGZ2NZ7LZeK/BOs5U0kKtW0rcqUTk86kGNu1ebzrsMRu/QQ5eYU&#10;WiY4cXftkVWTNz4GwHpkMudRTzidRwy9mcg5eOQlZfdsKTtU6xi+JHM9Gb5wrSp7HV7vRoVQJPeA&#10;XaTqThiYM+py9/75wMueF0EvmZXH0AtXjaWcn3SXhkXqWKaOp0AMmm69Bff/wJTBPhU3YMfwRXl9&#10;pjQEDUyS/smZJglieQzXOkgknO0UMa4MufDJ6bvihrEYWCr2OJLAW0uvr9o1LtflFO3JGxIk4Kh4&#10;psUJicU0ezYTfy6XLoUVcoHRxIoRNU5Kkpre2qMjmkBNJwKvokycNHT0BPdGleUJy5LxsTuA86gn&#10;bIfMyMr1FS4Xggbd7QC62EsPmCQS3UakNZO7F1lGpHnSz4qRD5fpJCpSDTVs37FKLmZ/RUfgnY8f&#10;wAOUuXV1cmJcM3OflCmojEzO5NxOD/pnSFMBFDM5I0uCxCspRVLYSo75w1a4zEhPs6kyf0cbmktO&#10;ZNjta2Y1TX7+oSKqNtyGajrXnvyNZNo0b+jJvNMhFnTQylUD6c0WQ0Fqj3ykyztJYFRYyRE23uLl&#10;k9NvY90/VCq7IMQQk2gmmnIJL2B2Vx9pv1j+MB019gBz6e95DDP8D9DQIZc31S0JnRRU5ADsYE85&#10;JKpG6JSerdEaK/apvmhMOcHUjZmYSX7Mx4MteUlYbc/vfv1bwLi1Y8SXlGcO4lN7SjWOOSgpDjog&#10;PkFPtHsq4uONeYTgWTWfPFu1ZwXAlzl5DO+NnL3J6Cm9Uk8vcX9wZ27k6edRM8yKJIhrzEaenkRC&#10;9OLN5OkVyhDsRmhw5OnB9TKCwgNVydGrLJDB5G99avHzapPkBYdB5VncfO6EZ7oFSNNdO3l5hRyM&#10;zqDb2acWJ6+ujLZQ6YD1njL5+Jy6wSNHaTtx8Zka9YiydgcPL+/xC1qBaYNf5gofkyqkocfjO/n3&#10;nM6idzRI9Ih7zyMhiCBk2ou3dvLu+pRgTbpOfWpx7nry3BBg7plLnXy7UbfRDP2RaxcdJ4vi8T2O&#10;7WaSy6tCg3b+ES9TqIFfecfZe7roXc5TFKhIU6YGBlKYgkDVB+4YgAb9tSUG1NOkYB++sURCQC3Y&#10;c48pmv6fQkDlmziTi+ouJ6OgboIlHFFPsLKj05lA/YhXMOQ0B7m8pLaeK7UlzuMI6Gi/xWSgQ3lH&#10;7mcK4BavnNtBR1BHoL5EIVKZk1v3vO9Xjc/TQx1jBaiTOXkM6kh2yi7OGa8+1jEqk3371OhB8RBf&#10;SPOGq9fjL55JfszBHO17KXR/tUK3XFhSdfrp8vPu7frzIt+5GanTYvf5P9efyQ+ILMi/397+dSNy&#10;aPqwfv9+Ib9HsewmAeECuFD+YKRY4A/xh0mxqIbksc8EiLbQ7Wa7+/Fy/WkhP7w+21xe7M5khdUv&#10;f97uVAeNRP71U1vh3ee3nxdX70Y7oVZwcbdZ3b4+2/7959Xm8mxx/aebrQTzi539sLEf3toPm931&#10;H9bXQiUPcrP+/c+79fur9Iyyw89mXUlEHItDgl5fIg7MdWOUohpaUmRSzLwvD+SDyB9nQ4st2aPq&#10;b00e9lv03ckDYPNYHlLZ5AvkgdZXMguKXtNdeW3zHtkH6Z8VzyyOlxIDRdDsfb41edhv0XcnDwRw&#10;x/KQtPoL5IEcpVwA11xyqjIe55zIjDP+VOWBtCS9r9+oPOy36LuTB07nWB7SKX6BPNDyUFf5NW7U&#10;AZhhkcDnyD7IGxak7pgGEdIlvu/d/dbsw36Lvjt5QJ2P5SGd4hfIg0wS0jyXSIO07R6hh5E0kDnh&#10;qvE3ah32G/TdSQPY7lgaUqLoC6RBcuKUhZO3IIyowQn3xUHe0yrjKFLUzvQ7rtdrxPCtGYf9Dn13&#10;4rDvSjrEmgnhfYE4jJI4vFkmT/YfuQpaklJ/QIKSpCb2adhvTRr2G/TdScO+YnmQhuOK5eTMA30s&#10;vNMiGQfEITcCjMSBuYcyyDUZB94sTE/rN2oc9jv0nYkD11CPfYX8Kyz4FxgHejuY3Jaro+Qd7nsK&#10;Op3opCMOFdtAvVKGz36bnkITbLJBTycNr+5uP5zffbhNl/U/kPf6eHXxZrVbjf+Zn+9uzy/L9cf1&#10;9bvLzQ//DwAA//8DAFBLAwQUAAYACAAAACEA5y58UN0AAAAFAQAADwAAAGRycy9kb3ducmV2Lnht&#10;bEyPQUvDQBCF74L/YRnBm91ETSxpNqUU9VSEtoL0Ns1Ok9DsbMhuk/Tfu3rRy8DjPd77Jl9OphUD&#10;9a6xrCCeRSCIS6sbrhR87t8e5iCcR9bYWiYFV3KwLG5vcsy0HXlLw85XIpSwy1BB7X2XSenKmgy6&#10;me2Ig3eyvUEfZF9J3eMYyk0rH6MolQYbDgs1drSuqTzvLkbB+4jj6il+HTbn0/p62CcfX5uYlLq/&#10;m1YLEJ4m/xeGH/yADkVgOtoLaydaBeER/3uDl75EKYijguckmYMscvmfvvgGAAD//wMAUEsBAi0A&#10;FAAGAAgAAAAhALaDOJL+AAAA4QEAABMAAAAAAAAAAAAAAAAAAAAAAFtDb250ZW50X1R5cGVzXS54&#10;bWxQSwECLQAUAAYACAAAACEAOP0h/9YAAACUAQAACwAAAAAAAAAAAAAAAAAvAQAAX3JlbHMvLnJl&#10;bHNQSwECLQAUAAYACAAAACEAGwdq0qokAAAc2QAADgAAAAAAAAAAAAAAAAAuAgAAZHJzL2Uyb0Rv&#10;Yy54bWxQSwECLQAUAAYACAAAACEA5y58UN0AAAAFAQAADwAAAAAAAAAAAAAAAAAEJwAAZHJzL2Rv&#10;d25yZXYueG1sUEsFBgAAAAAEAAQA8wAAAA4oAAAAAA==&#10;">
                <v:shape id="Graphic 168" o:spid="_x0000_s1028" style="position:absolute;left:689;top:3799;width:14878;height:9318;visibility:visible;mso-wrap-style:square;v-text-anchor:top" coordsize="1487805,827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N+gxQAAANwAAAAPAAAAZHJzL2Rvd25yZXYueG1sRI9Ba8JA&#10;EIXvQv/DMgVvujEHkdRVSsGSi6BpEbyN2TEJzc7G7Fajv945FHqb4b1575vlenCtulIfGs8GZtME&#10;FHHpbcOVge+vzWQBKkRki61nMnCnAOvVy2iJmfU33tO1iJWSEA4ZGqhj7DKtQ1mTwzD1HbFoZ987&#10;jLL2lbY93iTctTpNkrl22LA01NjRR03lT/HrDKQnd3kcumNVLLaf+3TH+fl0yY0Zvw7vb6AiDfHf&#10;/HedW8GfC608IxPo1RMAAP//AwBQSwECLQAUAAYACAAAACEA2+H2y+4AAACFAQAAEwAAAAAAAAAA&#10;AAAAAAAAAAAAW0NvbnRlbnRfVHlwZXNdLnhtbFBLAQItABQABgAIAAAAIQBa9CxbvwAAABUBAAAL&#10;AAAAAAAAAAAAAAAAAB8BAABfcmVscy8ucmVsc1BLAQItABQABgAIAAAAIQDjWN+gxQAAANwAAAAP&#10;AAAAAAAAAAAAAAAAAAcCAABkcnMvZG93bnJldi54bWxQSwUGAAAAAAMAAwC3AAAA+QIAAAAA&#10;" path="m137807,l94253,7026,56424,26591,26591,56424,7026,94253,,137807,,689000r7026,43554l26591,770383r29833,29833l94253,819781r43554,7027l1349844,826808r43559,-7027l1431233,800216r29831,-29833l1480627,732554r7025,-43554l1487652,137807r-7025,-43554l1461064,56424,1431233,26591,1393403,7026,1349844,,137807,xe" filled="f" strokeweight=".24869mm">
                  <v:path arrowok="t"/>
                </v:shape>
                <v:shape id="Graphic 169" o:spid="_x0000_s1029" style="position:absolute;left:2796;top:7208;width:11202;height:3492;visibility:visible;mso-wrap-style:square;v-text-anchor:top" coordsize="1120140,349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HZcwwAAANwAAAAPAAAAZHJzL2Rvd25yZXYueG1sRE9Na8JA&#10;EL0L/Q/LFLzpRhFpo6vYouDBSrWK1yE7TUKzs3F3TeK/7wqF3ubxPme+7EwlGnK+tKxgNExAEGdW&#10;l5wrOH1tBi8gfEDWWFkmBXfysFw89eaYatvygZpjyEUMYZ+igiKEOpXSZwUZ9ENbE0fu2zqDIUKX&#10;S+2wjeGmkuMkmUqDJceGAmt6Lyj7Od6Mgva8zrR7+2j05fq5v5e7Sbs9WKX6z91qBiJQF/7Ff+6t&#10;jvOnr/B4Jl4gF78AAAD//wMAUEsBAi0AFAAGAAgAAAAhANvh9svuAAAAhQEAABMAAAAAAAAAAAAA&#10;AAAAAAAAAFtDb250ZW50X1R5cGVzXS54bWxQSwECLQAUAAYACAAAACEAWvQsW78AAAAVAQAACwAA&#10;AAAAAAAAAAAAAAAfAQAAX3JlbHMvLnJlbHNQSwECLQAUAAYACAAAACEApuh2XMMAAADcAAAADwAA&#10;AAAAAAAAAAAAAAAHAgAAZHJzL2Rvd25yZXYueG1sUEsFBgAAAAADAAMAtwAAAPcCAAAAAA==&#10;" path="m1119911,l,,,349224r1119911,l1119911,xe" stroked="f">
                  <v:path arrowok="t"/>
                </v:shape>
                <v:shape id="Graphic 170" o:spid="_x0000_s1030" style="position:absolute;left:33797;top:7208;width:23063;height:6393;visibility:visible;mso-wrap-style:square;v-text-anchor:top" coordsize="1734820,827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DDexgAAANwAAAAPAAAAZHJzL2Rvd25yZXYueG1sRI9BSwMx&#10;EIXvgv8hjNCbzSrFyrZpKdqioIKmpedhM91dupksSdqu/nrnIHib4b1575v5cvCdOlNMbWADd+MC&#10;FHEVXMu1gd12c/sIKmVkh11gMvBNCZaL66s5li5c+IvONtdKQjiVaKDJuS+1TlVDHtM49MSiHUL0&#10;mGWNtXYRLxLuO31fFA/aY8vS0GBPTw1VR3vyBuho35731sdpO7Efnz/vRVq/rI0Z3QyrGahMQ/43&#10;/12/OsGfCr48IxPoxS8AAAD//wMAUEsBAi0AFAAGAAgAAAAhANvh9svuAAAAhQEAABMAAAAAAAAA&#10;AAAAAAAAAAAAAFtDb250ZW50X1R5cGVzXS54bWxQSwECLQAUAAYACAAAACEAWvQsW78AAAAVAQAA&#10;CwAAAAAAAAAAAAAAAAAfAQAAX3JlbHMvLnJlbHNQSwECLQAUAAYACAAAACEAzbQw3sYAAADcAAAA&#10;DwAAAAAAAAAAAAAAAAAHAgAAZHJzL2Rvd25yZXYueG1sUEsFBgAAAAADAAMAtwAAAPoCAAAAAA==&#10;" path="m137807,l94253,7026,56424,26591,26591,56424,7026,94253,,137807,,689000r7026,43554l26591,770383r29833,29833l94253,819781r43554,7027l1596402,826808r43553,-7027l1677781,800216r29829,-29833l1727172,732554r7025,-43554l1734197,137807r-7025,-43554l1707610,56424,1677781,26591,1639955,7026,1596402,,137807,xe" filled="f" strokeweight=".24869mm">
                  <v:path arrowok="t"/>
                </v:shape>
                <v:shape id="Graphic 171" o:spid="_x0000_s1031" style="position:absolute;left:36412;top:8205;width:13017;height:2000;visibility:visible;mso-wrap-style:square;v-text-anchor:top" coordsize="1301750,200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e20wwAAANwAAAAPAAAAZHJzL2Rvd25yZXYueG1sRE9La8JA&#10;EL4L/Q/LFLyIbhTUkLpKEQQPHuqjxeOQnSah2dmQ3bjJv+8Khd7m43vOZtebWjyodZVlBfNZAoI4&#10;t7riQsHtepimIJxH1lhbJgUDOdhtX0YbzLQNfKbHxRcihrDLUEHpfZNJ6fKSDLqZbYgj921bgz7C&#10;tpC6xRDDTS0XSbKSBiuODSU2tC8p/7l0RsHn0ocvMpNwHE5hmX7su2Fy75Qav/bvbyA89f5f/Oc+&#10;6jh/PYfnM/ECuf0FAAD//wMAUEsBAi0AFAAGAAgAAAAhANvh9svuAAAAhQEAABMAAAAAAAAAAAAA&#10;AAAAAAAAAFtDb250ZW50X1R5cGVzXS54bWxQSwECLQAUAAYACAAAACEAWvQsW78AAAAVAQAACwAA&#10;AAAAAAAAAAAAAAAfAQAAX3JlbHMvLnJlbHNQSwECLQAUAAYACAAAACEAB8XttMMAAADcAAAADwAA&#10;AAAAAAAAAAAAAAAHAgAAZHJzL2Rvd25yZXYueG1sUEsFBgAAAAADAAMAtwAAAPcCAAAAAA==&#10;" path="m1301394,l,,,199986r1301394,l1301394,xe" stroked="f">
                  <v:path arrowok="t"/>
                </v:shape>
                <v:shape id="Graphic 172" o:spid="_x0000_s1032" style="position:absolute;left:16849;top:23237;width:18326;height:6184;visibility:visible;mso-wrap-style:square;v-text-anchor:top" coordsize="1832610,6184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L1XvxAAAANwAAAAPAAAAZHJzL2Rvd25yZXYueG1sRE9Na8JA&#10;EL0X+h+WKfRWN4ZWJbpKEYS2hxbTCnobs2MSmp0Nu1uT/HtXKHibx/ucxao3jTiT87VlBeNRAoK4&#10;sLrmUsHP9+ZpBsIHZI2NZVIwkIfV8v5ugZm2HW/pnIdSxBD2GSqoQmgzKX1RkUE/si1x5E7WGQwR&#10;ulJqh10MN41Mk2QiDdYcGypsaV1R8Zv/GQXvw/PH56TbHY66ONLXS5q78X5Q6vGhf52DCNSHm/jf&#10;/abj/GkK12fiBXJ5AQAA//8DAFBLAQItABQABgAIAAAAIQDb4fbL7gAAAIUBAAATAAAAAAAAAAAA&#10;AAAAAAAAAABbQ29udGVudF9UeXBlc10ueG1sUEsBAi0AFAAGAAgAAAAhAFr0LFu/AAAAFQEAAAsA&#10;AAAAAAAAAAAAAAAAHwEAAF9yZWxzLy5yZWxzUEsBAi0AFAAGAAgAAAAhAPQvVe/EAAAA3AAAAA8A&#10;AAAAAAAAAAAAAAAABwIAAGRycy9kb3ducmV2LnhtbFBLBQYAAAAAAwADALcAAAD4AgAAAAA=&#10;" path="m102971,l62890,8093,30159,30164,8091,62895,,102971,,514883r8091,40083l30159,587702r32731,22071l102971,617867r1626146,l1769201,609773r32735,-22071l1824008,554966r8094,-40083l1832102,102971r-8094,-40076l1801936,30164,1769201,8093,1729117,,102971,xe" filled="f" strokeweight=".24869mm">
                  <v:path arrowok="t"/>
                </v:shape>
                <v:shape id="Graphic 173" o:spid="_x0000_s1033" style="position:absolute;left:19088;top:24651;width:12478;height:2496;visibility:visible;mso-wrap-style:square;v-text-anchor:top" coordsize="1247775,2495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kNiwAAAANwAAAAPAAAAZHJzL2Rvd25yZXYueG1sRE/bisIw&#10;EH0X/Icwgi+i6Sp4qUaRBUEQF1r9gKEZ22IzKU3U9u+NIOzbHM51NrvWVOJJjSstK/iZRCCIM6tL&#10;zhVcL4fxEoTzyBory6SgIwe7bb+3wVjbFyf0TH0uQgi7GBUU3texlC4ryKCb2Jo4cDfbGPQBNrnU&#10;Db5CuKnkNIrm0mDJoaHAmn4Lyu7pwyhwq2iUPGp9OSfSYnfPRqcu/VNqOGj3axCeWv8v/rqPOsxf&#10;zODzTLhAbt8AAAD//wMAUEsBAi0AFAAGAAgAAAAhANvh9svuAAAAhQEAABMAAAAAAAAAAAAAAAAA&#10;AAAAAFtDb250ZW50X1R5cGVzXS54bWxQSwECLQAUAAYACAAAACEAWvQsW78AAAAVAQAACwAAAAAA&#10;AAAAAAAAAAAfAQAAX3JlbHMvLnJlbHNQSwECLQAUAAYACAAAACEAZkZDYsAAAADcAAAADwAAAAAA&#10;AAAAAAAAAAAHAgAAZHJzL2Rvd25yZXYueG1sUEsFBgAAAAADAAMAtwAAAPQCAAAAAA==&#10;" path="m1247673,l,,,249529r1247673,l1247673,xe" stroked="f">
                  <v:path arrowok="t"/>
                </v:shape>
                <v:shape id="Graphic 174" o:spid="_x0000_s1034" style="position:absolute;left:16849;top:3799;width:15920;height:8395;visibility:visible;mso-wrap-style:square;v-text-anchor:top" coordsize="1591945,8394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bJFwQAAANwAAAAPAAAAZHJzL2Rvd25yZXYueG1sRE9La8JA&#10;EL4L/Q/LFHrTTUvwEV2lLZRKbkYv3sbsmIRmZ0N2zePfdwXB23x8z9nsBlOLjlpXWVbwPotAEOdW&#10;V1woOB1/pksQziNrrC2TgpEc7LYvkw0m2vZ8oC7zhQgh7BJUUHrfJFK6vCSDbmYb4sBdbWvQB9gW&#10;UrfYh3BTy48omkuDFYeGEhv6Lin/y25GQfrbjGebpl/VPh6xi/vbZSVJqbfX4XMNwtPgn+KHe6/D&#10;/EUM92fCBXL7DwAA//8DAFBLAQItABQABgAIAAAAIQDb4fbL7gAAAIUBAAATAAAAAAAAAAAAAAAA&#10;AAAAAABbQ29udGVudF9UeXBlc10ueG1sUEsBAi0AFAAGAAgAAAAhAFr0LFu/AAAAFQEAAAsAAAAA&#10;AAAAAAAAAAAAHwEAAF9yZWxzLy5yZWxzUEsBAi0AFAAGAAgAAAAhAOpxskXBAAAA3AAAAA8AAAAA&#10;AAAAAAAAAAAABwIAAGRycy9kb3ducmV2LnhtbFBLBQYAAAAAAwADALcAAAD1AgAAAAA=&#10;" path="m397878,839343r,-209830l1591525,629513r,-419671l397878,209842,397878,,,419671,397878,839343xe" filled="f" strokeweight=".24869mm">
                  <v:path arrowok="t"/>
                </v:shape>
                <v:shape id="Graphic 175" o:spid="_x0000_s1035" style="position:absolute;left:19726;top:5847;width:13043;height:4362;visibility:visible;mso-wrap-style:square;v-text-anchor:top" coordsize="1304290,436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UddwgAAANwAAAAPAAAAZHJzL2Rvd25yZXYueG1sRE9La8JA&#10;EL4X+h+WKfTWbCqtltQ1BEWQXEq0vQ/ZyaPJzobsqtFf3y0I3ubje84ynUwvTjS61rKC1ygGQVxa&#10;3XKt4PuwffkA4Tyyxt4yKbiQg3T1+LDERNszF3Ta+1qEEHYJKmi8HxIpXdmQQRfZgThwlR0N+gDH&#10;WuoRzyHc9HIWx3NpsOXQ0OBA64bKbn80Crqqok2++9Jtgb9v/gez7TXPlHp+mrJPEJ4mfxff3Dsd&#10;5i/e4f+ZcIFc/QEAAP//AwBQSwECLQAUAAYACAAAACEA2+H2y+4AAACFAQAAEwAAAAAAAAAAAAAA&#10;AAAAAAAAW0NvbnRlbnRfVHlwZXNdLnhtbFBLAQItABQABgAIAAAAIQBa9CxbvwAAABUBAAALAAAA&#10;AAAAAAAAAAAAAB8BAABfcmVscy8ucmVsc1BLAQItABQABgAIAAAAIQAKZUddwgAAANwAAAAPAAAA&#10;AAAAAAAAAAAAAAcCAABkcnMvZG93bnJldi54bWxQSwUGAAAAAAMAAwC3AAAA9gIAAAAA&#10;" path="m1303781,l,,,435787r1303781,l1303781,xe" stroked="f">
                  <v:path arrowok="t"/>
                </v:shape>
                <v:shape id="Graphic 176" o:spid="_x0000_s1036" style="position:absolute;left:13996;top:13595;width:14808;height:5093;visibility:visible;mso-wrap-style:square;v-text-anchor:top" coordsize="1480820,509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nR8wgAAANwAAAAPAAAAZHJzL2Rvd25yZXYueG1sRE/basJA&#10;EH0v+A/LCL4U3dSCSnQVKYiFCt7fh+yYRLOzMbtN4t+7QqFvczjXmS1aU4iaKpdbVvAxiEAQJ1bn&#10;nCo4HVf9CQjnkTUWlknBgxws5p23GcbaNryn+uBTEULYxagg876MpXRJRgbdwJbEgbvYyqAPsEql&#10;rrAJ4aaQwygaSYM5h4YMS/rKKLkdfo2Cz3szWTebNnoMf95P13OxTXZUK9XrtsspCE+t/xf/ub91&#10;mD8eweuZcIGcPwEAAP//AwBQSwECLQAUAAYACAAAACEA2+H2y+4AAACFAQAAEwAAAAAAAAAAAAAA&#10;AAAAAAAAW0NvbnRlbnRfVHlwZXNdLnhtbFBLAQItABQABgAIAAAAIQBa9CxbvwAAABUBAAALAAAA&#10;AAAAAAAAAAAAAB8BAABfcmVscy8ucmVsc1BLAQItABQABgAIAAAAIQDienR8wgAAANwAAAAPAAAA&#10;AAAAAAAAAAAAAAcCAABkcnMvZG93bnJldi54bWxQSwUGAAAAAAMAAwC3AAAA9gIAAAAA&#10;" path="m538467,l,,2003,33479,17662,98635r30367,62308l92111,219864r26873,28023l148914,274862r32863,25861l217447,325401r38355,23429l296716,370943r43351,20730l385729,410953r47850,17762l483493,444892r51853,14526l589014,472225r55360,11022l701301,492415r58371,7249l819361,504925r60884,3208l942200,509219r538581,l1418813,508135r-60896,-3204l1298217,499671r-58381,-7247l1182900,483257r-55368,-11021l1073856,459429r-51860,-14525l972076,428726,924221,410964,878554,391684,835200,370953,794282,348839,755924,325409,720251,300730,687387,274869,657455,247892,630581,219868,586497,160945,556130,98636,540471,33479,538467,xe" fillcolor="#d2d3d5" stroked="f">
                  <v:path arrowok="t"/>
                </v:shape>
                <v:shape id="Graphic 177" o:spid="_x0000_s1037" style="position:absolute;left:13996;top:13595;width:26384;height:5093;visibility:visible;mso-wrap-style:square;v-text-anchor:top" coordsize="2638425,509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9frxAAAANwAAAAPAAAAZHJzL2Rvd25yZXYueG1sRE9LawIx&#10;EL4X/A9hhN5qVgsqW6OsilAUBR+HHofNdLN0M1k3qa7+eiMUepuP7zmTWWsrcaHGl44V9HsJCOLc&#10;6ZILBafj6m0MwgdkjZVjUnAjD7Np52WCqXZX3tPlEAoRQ9inqMCEUKdS+tyQRd9zNXHkvl1jMUTY&#10;FFI3eI3htpKDJBlKiyXHBoM1LQzlP4dfq2CX7TNTrzbb+e3M78n6dP/aLe9KvXbb7ANEoDb8i//c&#10;nzrOH43g+Uy8QE4fAAAA//8DAFBLAQItABQABgAIAAAAIQDb4fbL7gAAAIUBAAATAAAAAAAAAAAA&#10;AAAAAAAAAABbQ29udGVudF9UeXBlc10ueG1sUEsBAi0AFAAGAAgAAAAhAFr0LFu/AAAAFQEAAAsA&#10;AAAAAAAAAAAAAAAAHwEAAF9yZWxzLy5yZWxzUEsBAi0AFAAGAAgAAAAhANFb1+vEAAAA3AAAAA8A&#10;AAAAAAAAAAAAAAAABwIAAGRycy9kb3ducmV2LnhtbFBLBQYAAAAAAwADALcAAAD4AgAAAAA=&#10;" path="m,l7932,66380r23137,63799l68418,190860r50566,57027l148914,274862r32863,25861l217447,325401r38355,23429l296716,370943r43351,20730l385729,410953r47850,17762l483493,444892r51853,14526l589014,472225r55360,11022l701301,492415r58371,7249l819361,504925r60884,3208l942200,509219r538581,l1540322,508204r58757,-3004l1656917,500260r56785,-6826l1769300,484775r54275,-10443l1876393,462159r51225,-13854l1977118,432823r47638,-17059l2070398,397180r43511,-20059l2155155,355639r38846,-22853l2230313,308613r33641,-25441l2294792,256513r27899,-27825l2347516,199750r21618,-30002l2638374,169748,2153869,,1561439,169748r269227,l1807179,202076r-27300,31173l1748922,263184r-34458,28619l1676660,319025r-40994,25746l1591638,368960r-46907,22552l1495101,412347r-52197,19039l1388295,448548r-56865,15205l1272464,476921r-60910,11051l1149454,476714r-59757,-13393l1032286,447888,977349,430507,925017,411273,875420,390279,828686,367620,784946,343389,744330,317681,706966,290590,672985,262208,642516,232631,615689,201952,592633,170265,558356,104243,540720,35317,538467,,,xe" filled="f" strokeweight=".24869mm">
                  <v:path arrowok="t"/>
                </v:shape>
                <v:shape id="Graphic 178" o:spid="_x0000_s1038" style="position:absolute;left:6850;top:13589;width:26949;height:13266;visibility:visible;mso-wrap-style:square;v-text-anchor:top" coordsize="2694940,1326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C3DxAAAANwAAAAPAAAAZHJzL2Rvd25yZXYueG1sRI9BT8Mw&#10;DIXvk/gPkZF221LQRFFZNgHSJtguY5S71Zi2onGqJGvLv8cHpN1svef3Pq+3k+vUQCG2ng3cLTNQ&#10;xJW3LdcGys/d4hFUTMgWO89k4JcibDc3szUW1o/8QcM51UpCOBZooEmpL7SOVUMO49L3xKJ9++Aw&#10;yRpqbQOOEu46fZ9lD9phy9LQYE+vDVU/54szEMI+/1oN+HI6HN/bQz6WuKfSmPnt9PwEKtGUrub/&#10;6zcr+LnQyjMygd78AQAA//8DAFBLAQItABQABgAIAAAAIQDb4fbL7gAAAIUBAAATAAAAAAAAAAAA&#10;AAAAAAAAAABbQ29udGVudF9UeXBlc10ueG1sUEsBAi0AFAAGAAgAAAAhAFr0LFu/AAAAFQEAAAsA&#10;AAAAAAAAAAAAAAAAHwEAAF9yZWxzLy5yZWxzUEsBAi0AFAAGAAgAAAAhAM2ELcPEAAAA3AAAAA8A&#10;AAAAAAAAAAAAAAAABwIAAGRycy9kb3ducmV2LnhtbFBLBQYAAAAAAwADALcAAAD4AgAAAAA=&#10;" path="m953960,953160l668032,579856r,178829l548830,758685r-52997,-3632l446493,744626,401828,728141,362927,706297,330822,679831,306578,649452,285927,579856,285927,,,,,579856r2006,48997l7937,676681r9690,46495l30911,768184r16701,43346l67576,853020r23063,39497l116624,929830r28752,34950l176745,997229r33795,29743l246595,1053858r38177,23864l324891,1098372r41885,17284l410286,1129398r44945,10020l501472,1145552r47358,2083l668032,1147635r,178829l953960,953160xem2694724,272224r-1495413,l1199311,564146r1495413,l2694724,272224xe" stroked="f">
                  <v:path arrowok="t"/>
                </v:shape>
                <v:shape id="Graphic 179" o:spid="_x0000_s1039" style="position:absolute;left:6850;top:13589;width:9544;height:13266;visibility:visible;mso-wrap-style:square;v-text-anchor:top" coordsize="954405,1326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7dPrwwAAANwAAAAPAAAAZHJzL2Rvd25yZXYueG1sRE9NTwIx&#10;EL2b+B+aMfEmXQ0grBSiGIzEk4DxOtkO243b6bIdYOXXUxMSb/PyPmcy63ytDtTGKrCB+14GirgI&#10;tuLSwGa9uBuBioJssQ5MBn4pwmx6fTXB3IYjf9JhJaVKIRxzNOBEmlzrWDjyGHuhIU7cNrQeJcG2&#10;1LbFYwr3tX7IsqH2WHFqcNjQ3FHxs9p7Ax+Dt+95t32RU9wv3fKrf9qhvBpze9M9P4ES6uRffHG/&#10;2zT/cQx/z6QL9PQMAAD//wMAUEsBAi0AFAAGAAgAAAAhANvh9svuAAAAhQEAABMAAAAAAAAAAAAA&#10;AAAAAAAAAFtDb250ZW50X1R5cGVzXS54bWxQSwECLQAUAAYACAAAACEAWvQsW78AAAAVAQAACwAA&#10;AAAAAAAAAAAAAAAfAQAAX3JlbHMvLnJlbHNQSwECLQAUAAYACAAAACEAFe3T68MAAADcAAAADwAA&#10;AAAAAAAAAAAAAAAHAgAAZHJzL2Rvd25yZXYueG1sUEsFBgAAAAADAAMAtwAAAPcCAAAAAA==&#10;" path="m953960,953160l668032,1326464r,-178829l548830,1147635r-47353,-2084l455241,1139412r-44952,-10024l366785,1115650r-41892,-17281l284778,1077716r-38172,-23857l210540,1026971,176747,997221,145389,964781,116633,929820,90643,892509,67583,853019,47619,811519,30915,768182,17637,723176,7948,676673,2014,628843,,579856,,,285927,r,579856l291268,615886r39558,63940l362929,706294r38909,21841l446496,744627r49349,10423l548830,758685r119202,l668032,579856,953960,953160xe" filled="f" strokeweight=".24869mm">
                  <v:path arrowok="t"/>
                </v:shape>
                <v:shape id="Graphic 180" o:spid="_x0000_s1040" style="position:absolute;left:44757;top:13112;width:11361;height:14649;visibility:visible;mso-wrap-style:square;v-text-anchor:top" coordsize="1136015,1464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uGBxAAAANwAAAAPAAAAZHJzL2Rvd25yZXYueG1sRI9Pb8Iw&#10;DMXvSPsOkSftBuk4DNQR0DSBxBUoB25W47XVGidqsv7Zp8cHJG623vN7P292o2tVT11sPBt4X2Sg&#10;iEtvG64MFJfDfA0qJmSLrWcyMFGE3fZltsHc+oFP1J9TpSSEY44G6pRCrnUsa3IYFz4Qi/bjO4dJ&#10;1q7StsNBwl2rl1n2oR02LA01Bvquqfw9/zkDx9tK90XQcRr+q1PYH/bTdVkY8/Y6fn2CSjSmp/lx&#10;fbSCvxZ8eUYm0Ns7AAAA//8DAFBLAQItABQABgAIAAAAIQDb4fbL7gAAAIUBAAATAAAAAAAAAAAA&#10;AAAAAAAAAABbQ29udGVudF9UeXBlc10ueG1sUEsBAi0AFAAGAAgAAAAhAFr0LFu/AAAAFQEAAAsA&#10;AAAAAAAAAAAAAAAAHwEAAF9yZWxzLy5yZWxzUEsBAi0AFAAGAAgAAAAhAEUq4YHEAAAA3AAAAA8A&#10;AAAAAAAAAAAAAAAABwIAAGRycy9kb3ducmV2LnhtbFBLBQYAAAAAAwADALcAAAD4AgAAAAA=&#10;" path="m815886,l496341,438899r153060,l649401,621893r-2003,65464l641597,749457r-9283,57905l619865,860241r-15299,47023l586730,947600r-20055,32818l521165,1020179r-24824,5282l,1025461r,438912l496341,1464373r34707,-2115l598406,1445762r64067,-31899l722590,1367703r28372,-28072l778100,1308422r25822,-34204l828345,1237161r22942,-39767l872665,1155060r19733,-44759l910404,1063261r16195,-49180l940902,962904r12328,-53032l963501,855129r8132,-56312l977543,741079r3606,-59022l982370,621893r,-182994l1135443,438899,815886,xe" stroked="f">
                  <v:path arrowok="t"/>
                </v:shape>
                <v:shape id="Graphic 181" o:spid="_x0000_s1041" style="position:absolute;left:44757;top:13112;width:11361;height:14649;visibility:visible;mso-wrap-style:square;v-text-anchor:top" coordsize="1136015,1464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Ok4vwAAANwAAAAPAAAAZHJzL2Rvd25yZXYueG1sRE9Ni8Iw&#10;EL0L/ocwC940rchSqrEsiuJJsKv3oZltyzaTmkSt/94IC3ubx/ucVTGYTtzJ+daygnSWgCCurG65&#10;VnD+3k0zED4ga+wsk4IneSjW49EKc20ffKJ7GWoRQ9jnqKAJoc+l9FVDBv3M9sSR+7HOYIjQ1VI7&#10;fMRw08l5knxKgy3HhgZ72jRU/ZY3oyC5dn7Ph0weL3rr5n63OdtFqdTkY/haggg0hH/xn/ug4/ws&#10;hfcz8QK5fgEAAP//AwBQSwECLQAUAAYACAAAACEA2+H2y+4AAACFAQAAEwAAAAAAAAAAAAAAAAAA&#10;AAAAW0NvbnRlbnRfVHlwZXNdLnhtbFBLAQItABQABgAIAAAAIQBa9CxbvwAAABUBAAALAAAAAAAA&#10;AAAAAAAAAB8BAABfcmVscy8ucmVsc1BLAQItABQABgAIAAAAIQDTjOk4vwAAANwAAAAPAAAAAAAA&#10;AAAAAAAAAAcCAABkcnMvZG93bnJldi54bWxQSwUGAAAAAAMAAwC3AAAA8wIAAAAA&#10;" path="m815886,r319557,438899l982370,438899r,182994l981149,682057r-3606,59022l971633,798817r-8132,56312l953230,909872r-12328,53032l926599,1014081r-16195,49180l892398,1110301r-19733,44759l851287,1197394r-22942,39767l803922,1274218r-25822,34204l750962,1339631r-28372,28072l693066,1392495r-62174,39172l565097,1456006r-68756,8367l,1464373,,1025461r496341,l521165,1020179r45510,-39761l586730,947600r17836,-40336l619865,860241r12449,-52879l641597,749457r5801,-62100l649401,621893r,-182994l496341,438899,815886,xe" filled="f" strokeweight=".24869mm">
                  <v:path arrowok="t"/>
                </v:shape>
                <v:shape id="Graphic 182" o:spid="_x0000_s1042" style="position:absolute;left:689;top:689;width:37071;height:18542;visibility:visible;mso-wrap-style:square;v-text-anchor:top" coordsize="3707129,1854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qz6wgAAANwAAAAPAAAAZHJzL2Rvd25yZXYueG1sRE9Ni8Iw&#10;EL0L+x/CCN401YOUrlFEULx4WBXtcWxmm2oz6TZZ7f77jSB4m8f7nNmis7W4U+srxwrGowQEceF0&#10;xaWC42E9TEH4gKyxdkwK/sjDYv7Rm2Gm3YO/6L4PpYgh7DNUYEJoMil9YciiH7mGOHLfrrUYImxL&#10;qVt8xHBby0mSTKXFimODwYZWhorb/tcqSHfL/PBzvhxvMjc+v25O+fiyUWrQ75afIAJ14S1+ubc6&#10;zk8n8HwmXiDn/wAAAP//AwBQSwECLQAUAAYACAAAACEA2+H2y+4AAACFAQAAEwAAAAAAAAAAAAAA&#10;AAAAAAAAW0NvbnRlbnRfVHlwZXNdLnhtbFBLAQItABQABgAIAAAAIQBa9CxbvwAAABUBAAALAAAA&#10;AAAAAAAAAAAAAB8BAABfcmVscy8ucmVsc1BLAQItABQABgAIAAAAIQDeZqz6wgAAANwAAAAPAAAA&#10;AAAAAAAAAAAAAAcCAABkcnMvZG93bnJldi54bWxQSwUGAAAAAAMAAwC3AAAA9gIAAAAA&#10;" path="m1495412,1562265l,1562265r,291922l1495412,1854187r,-291922xem3706584,463842r-8065,-60465l3674999,345249r-37986,-55270l3585591,238023r-30430,-24562l3521748,189903r-36271,-22479l3446475,146075r-41605,-20142l3360788,107061,3314357,89496,3265703,73317,3214941,58585,3162223,45351,3107652,33680,3051352,23647r-57886,-8344l2934119,8699,2873425,3911,2811526,990,2748521,,2200973,r-60553,927l2080653,3657r-58826,4496l1964080,14363r-56553,7887l1852333,31762r-53721,11087l1746516,55473r-50343,14097l1647736,85102r-46419,16929l1557070,120307r-41948,19570l1475625,160693r-36931,22021l1404493,205879r-31357,24295l1319517,281876r-21984,27330l1023759,309232r492659,154610l2118842,309232r-273774,-26l1868957,279755r27762,-28397l1928190,224091r35039,-26073l2001672,173228r41681,-23457l2088121,127736r47701,-20548l2186292,88214r53073,-17348l2294902,55245r57823,-13856l2412682,29400r62065,-10071l2537764,29591r60770,12192l2656916,55841r55854,15837l2765996,89192r50432,19126l2863939,128955r44488,22073l2949727,174447r37986,24676l3022269,224980r30988,26937l3080524,279857r42926,58559l3149981,399973r9067,63843l3706584,463842xe" stroked="f">
                  <v:path arrowok="t"/>
                </v:shape>
                <v:shape id="Graphic 183" o:spid="_x0000_s1043" style="position:absolute;left:25437;top:689;width:12319;height:4642;visibility:visible;mso-wrap-style:square;v-text-anchor:top" coordsize="1231900,4641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uJ0wgAAANwAAAAPAAAAZHJzL2Rvd25yZXYueG1sRE9Li8Iw&#10;EL4v+B/CCN7W1Aoi1SiLqKuwB1+w7G1oxrZsMylJttZ/vxEEb/PxPWe+7EwtWnK+sqxgNExAEOdW&#10;V1wouJw371MQPiBrrC2Tgjt5WC56b3PMtL3xkdpTKEQMYZ+hgjKEJpPS5yUZ9EPbEEfuap3BEKEr&#10;pHZ4i+GmlmmSTKTBimNDiQ2tSsp/T39GgTykP9ze11u3r5OvcTh8p9fNp1KDfvcxAxGoCy/x073T&#10;cf50DI9n4gVy8Q8AAP//AwBQSwECLQAUAAYACAAAACEA2+H2y+4AAACFAQAAEwAAAAAAAAAAAAAA&#10;AAAAAAAAW0NvbnRlbnRfVHlwZXNdLnhtbFBLAQItABQABgAIAAAAIQBa9CxbvwAAABUBAAALAAAA&#10;AAAAAAAAAAAAAB8BAABfcmVscy8ucmVsc1BLAQItABQABgAIAAAAIQDvZuJ0wgAAANwAAAAPAAAA&#10;AAAAAAAAAAAAAAcCAABkcnMvZG93bnJldi54bWxQSwUGAAAAAAMAAwC3AAAA9gIAAAAA&#10;" path="m273634,l218116,778,162835,3109,107937,6984,53568,12393,,19329,63017,29582r60765,12199l182161,55838r55862,15832l291237,89190r50434,19123l389192,128952r44477,22072l474970,174441r37993,24678l547517,224971r30982,26942l605778,279858r42921,58560l675225,399966r9076,63850l1231836,463842r-8067,-60471l1200241,345252r-37980,-55278l1110839,238026r-30437,-24572l1046983,189898r-36275,-22480l971703,146076,930095,125934,886009,107052,839572,89491,790910,73312,740149,58578,687414,45347,632834,33683,576532,23645,518637,15296,459273,8695,398567,3905,336645,986,273634,xe" fillcolor="#d2d3d5" stroked="f">
                  <v:path arrowok="t"/>
                </v:shape>
                <v:shape id="Graphic 184" o:spid="_x0000_s1044" style="position:absolute;left:10927;top:689;width:26828;height:4642;visibility:visible;mso-wrap-style:square;v-text-anchor:top" coordsize="2682875,4641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SdbwgAAANwAAAAPAAAAZHJzL2Rvd25yZXYueG1sRE/NasJA&#10;EL4XfIdlhN7qxhKKRFcRpaWkHqrmAcbsJBvMzobs1sS37xaE3ubj+53VZrStuFHvG8cK5rMEBHHp&#10;dMO1guL8/rIA4QOyxtYxKbiTh8168rTCTLuBj3Q7hVrEEPYZKjAhdJmUvjRk0c9cRxy5yvUWQ4R9&#10;LXWPQwy3rXxNkjdpseHYYLCjnaHyevqxCj5yXVXp/pBevriQ32lyLzDfKfU8HbdLEIHG8C9+uD91&#10;nL9I4e+ZeIFc/wIAAP//AwBQSwECLQAUAAYACAAAACEA2+H2y+4AAACFAQAAEwAAAAAAAAAAAAAA&#10;AAAAAAAAW0NvbnRlbnRfVHlwZXNdLnhtbFBLAQItABQABgAIAAAAIQBa9CxbvwAAABUBAAALAAAA&#10;AAAAAAAAAAAAAB8BAABfcmVscy8ucmVsc1BLAQItABQABgAIAAAAIQA4eSdbwgAAANwAAAAPAAAA&#10;AAAAAAAAAAAAAAcCAABkcnMvZG93bnJldi54bWxQSwUGAAAAAAMAAwC3AAAA9gIAAAAA&#10;" path="m2682824,463842r-8067,-60471l2651229,345252r-37978,-55278l2561831,238026r-30435,-24572l2497980,189898r-36272,-22480l2422707,146076r-41605,-20142l2337021,107052,2290590,89491,2241934,73312,2191180,58578,2138454,45347,2083883,33683,2027591,23645r-57884,-8349l1910356,8695,1849663,3905,1787756,986,1724761,,1177213,r-60560,921l1056890,3653,998064,8150r-57755,6215l883764,22251r-55199,9510l774848,42848,722752,55465,672412,69566,623966,85104r-46415,16928l533303,120303r-41944,19567l451857,160687r-36925,22019l380723,205882r-31358,24284l295754,281875r-21981,27331l,309232,492658,463842,1095082,309232r-273773,-26l845191,279757r27759,-28396l904428,224091r35038,-26071l977907,173222r41684,-23453l1064361,127735r47698,-20544l1162525,88211r53078,-17342l1271134,55237r57825,-13850l1388921,29394r61939,-10065l1514005,29582r60764,12199l1633149,55838r55862,15832l1742225,89190r50434,19123l1840180,128952r44477,22072l1925958,174441r37993,24678l1998505,224971r30982,26942l2056766,279858r42920,58560l2126212,399966r9077,63850l2682824,463842xe" filled="f" strokeweight=".24869mm">
                  <v:path arrowok="t"/>
                </v:shape>
                <v:shape id="Graphic 185" o:spid="_x0000_s1045" style="position:absolute;left:25435;top:689;width:2743;height:197;visibility:visible;mso-wrap-style:square;v-text-anchor:top" coordsize="27432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voYwQAAANwAAAAPAAAAZHJzL2Rvd25yZXYueG1sRE9LawIx&#10;EL4L/ocwgjc3W6GybI1SCq29ePDR9jpsJpulm8myibr+eyMI3ubje85yPbhWnKkPjWcFL1kOgrjy&#10;uuFawfHwOStAhIissfVMCq4UYL0aj5ZYan/hHZ33sRYphEOJCmyMXSllqCw5DJnviBNnfO8wJtjX&#10;Uvd4SeGulfM8X0iHDacGix19WKr+9yenwPB2s/j5krY10lBxwI35DX9KTSfD+xuISEN8ih/ub53m&#10;F69wfyZdIFc3AAAA//8DAFBLAQItABQABgAIAAAAIQDb4fbL7gAAAIUBAAATAAAAAAAAAAAAAAAA&#10;AAAAAABbQ29udGVudF9UeXBlc10ueG1sUEsBAi0AFAAGAAgAAAAhAFr0LFu/AAAAFQEAAAsAAAAA&#10;AAAAAAAAAAAAHwEAAF9yZWxzLy5yZWxzUEsBAi0AFAAGAAgAAAAhACYS+hjBAAAA3AAAAA8AAAAA&#10;AAAAAAAAAAAABwIAAGRycy9kb3ducmV2LnhtbFBLBQYAAAAAAwADALcAAAD1AgAAAAA=&#10;" path="m273900,l218314,778,162992,3109,108073,6984,53696,12393,,19329e" filled="f" strokeweight=".24869mm">
                  <v:path arrowok="t"/>
                </v:shape>
                <v:shape id="Graphic 186" o:spid="_x0000_s1046" style="position:absolute;left:32132;top:44;width:28644;height:26645;visibility:visible;mso-wrap-style:square;v-text-anchor:top" coordsize="2864485,2664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m5OwwAAANwAAAAPAAAAZHJzL2Rvd25yZXYueG1sRE9NawIx&#10;EL0L/Q9hCr1pVikiW6NYURSRgmsr9DZsppulm8mSRF3/vSkIvc3jfc503tlGXMiH2rGC4SADQVw6&#10;XXOl4PO47k9AhIissXFMCm4UYD576k0x1+7KB7oUsRIphEOOCkyMbS5lKA1ZDAPXEifux3mLMUFf&#10;Se3xmsJtI0dZNpYWa04NBltaGip/i7NVUGxOq+/R8cSH16+PfdF6M9wt3pV6ee4WbyAidfFf/HBv&#10;dZo/GcPfM+kCObsDAAD//wMAUEsBAi0AFAAGAAgAAAAhANvh9svuAAAAhQEAABMAAAAAAAAAAAAA&#10;AAAAAAAAAFtDb250ZW50X1R5cGVzXS54bWxQSwECLQAUAAYACAAAACEAWvQsW78AAAAVAQAACwAA&#10;AAAAAAAAAAAAAAAfAQAAX3JlbHMvLnJlbHNQSwECLQAUAAYACAAAACEAjD5uTsMAAADcAAAADwAA&#10;AAAAAAAAAAAAAAAHAgAAZHJzL2Rvd25yZXYueG1sUEsFBgAAAAADAAMAtwAAAPcCAAAAAA==&#10;" path="m1078115,1383779r-234924,l843191,1927860r-5703,38468l821232,2001647r-25501,31165l762279,2058797r-40107,19812l676694,2091232r-49530,4433l529234,2095665r,-167805l294297,2278164r234937,350304l529234,2460663r97930,l670585,2458224r42266,-7162l753757,2439378r39358,-15952l830732,2403411r35700,-23863l900023,2352090r31293,-30861l960107,2287206r26111,-36957l1009472,2210562r20180,-42177l1046594,2123935r13513,-46508l1069987,2029104r6058,-49936l1078115,1927860r,-544081xem1859559,l,,,336092r1859559,l1859559,xem2864256,2238044r-1550327,l1313929,2664282r1550327,l2864256,2238044xe" stroked="f">
                  <v:path arrowok="t"/>
                </v:shape>
                <v:shape id="Graphic 187" o:spid="_x0000_s1047" style="position:absolute;left:35075;top:13882;width:7842;height:12452;visibility:visible;mso-wrap-style:square;v-text-anchor:top" coordsize="784225,1245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LGawgAAANwAAAAPAAAAZHJzL2Rvd25yZXYueG1sRE9La8JA&#10;EL4X+h+WKfTWbOJBJXWVUBAsgviEHofsNEmbnV2zq8Z/7wqCt/n4njOZ9aYVZ+p8Y1lBlqQgiEur&#10;G64U7HfzjzEIH5A1tpZJwZU8zKavLxPMtb3whs7bUIkYwj5HBXUILpfSlzUZ9Il1xJH7tZ3BEGFX&#10;Sd3hJYabVg7SdCgNNhwbanT0VVP5vz0ZBe2wPBxXBZ/+duusX7rld1b8OKXe3/riE0SgPjzFD/dC&#10;x/njEdyfiRfI6Q0AAP//AwBQSwECLQAUAAYACAAAACEA2+H2y+4AAACFAQAAEwAAAAAAAAAAAAAA&#10;AAAAAAAAW0NvbnRlbnRfVHlwZXNdLnhtbFBLAQItABQABgAIAAAAIQBa9CxbvwAAABUBAAALAAAA&#10;AAAAAAAAAAAAAB8BAABfcmVscy8ucmVsc1BLAQItABQABgAIAAAAIQCgdLGawgAAANwAAAAPAAAA&#10;AAAAAAAAAAAAAAcCAABkcnMvZG93bnJldi54bWxQSwUGAAAAAAMAAwC3AAAA9gIAAAAA&#10;" path="m,894384r234937,350304l234937,1076883r97930,l376295,1074444r42261,-7169l459460,1055600r39358,-15958l536442,1019624r35700,-23853l605729,968304r31285,-30856l665809,903427r26115,-36965l715170,826778r20188,-42179l752300,740147r13506,-46502l775687,645318r6067,-49929l783818,544080,783818,,548894,r,544080l543188,582551r-16250,35318l501437,649027r-33453,25988l427873,694826r-45471,12627l332867,711885r-97930,l234937,544080,,894384xe" filled="f" strokeweight=".24869mm">
                  <v:path arrowok="t"/>
                </v:shape>
                <v:shape id="Graphic 188" o:spid="_x0000_s1048" style="position:absolute;left:44;top:16204;width:49270;height:13215;visibility:visible;mso-wrap-style:square;v-text-anchor:top" coordsize="4926965,1321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FeqxAAAANwAAAAPAAAAZHJzL2Rvd25yZXYueG1sRI9PawJB&#10;DMXvgt9hiNCbzlZola2jFEHQi1C1tMd0J/uH7mSWmXFdv705FHpLeC/v/bLaDK5VPYXYeDbwPMtA&#10;ERfeNlwZuJx30yWomJAttp7JwJ0ibNbj0Qpz62/8Qf0pVUpCOOZooE6py7WORU0O48x3xKKVPjhM&#10;soZK24A3CXetnmfZq3bYsDTU2NG2puL3dHUGriF84ed31b/s764s++PPoWgXxjxNhvc3UImG9G/+&#10;u95bwV8KrTwjE+j1AwAA//8DAFBLAQItABQABgAIAAAAIQDb4fbL7gAAAIUBAAATAAAAAAAAAAAA&#10;AAAAAAAAAABbQ29udGVudF9UeXBlc10ueG1sUEsBAi0AFAAGAAgAAAAhAFr0LFu/AAAAFQEAAAsA&#10;AAAAAAAAAAAAAAAAHwEAAF9yZWxzLy5yZWxzUEsBAi0AFAAGAAgAAAAhAMjYV6rEAAAA3AAAAA8A&#10;AAAAAAAAAAAAAAAABwIAAGRycy9kb3ducmV2LnhtbFBLBQYAAAAAAwADALcAAAD4AgAAAAA=&#10;" path="m1552130,1090993r-678472,l825677,1085405r-44043,-15913l742784,1044524r-32410,-32766l685673,972477,669925,927938r-5525,-48514l664400,783488r209258,l436829,553389,,783488r209257,l209257,879424r2439,38112l230606,990917r16078,35014l266903,1059637r24168,32283l318985,1122641r31471,29020l385267,1178864r37960,25235l464134,1227239r43662,20917l553999,1266710r48565,16066l653275,1296212r52667,10694l760361,1314704r55969,4775l873658,1321092r678472,l1552130,1090993xem4926812,l3771074,r,553389l4926812,553389,4926812,xe" stroked="f">
                  <v:path arrowok="t"/>
                </v:shape>
                <v:shape id="Graphic 189" o:spid="_x0000_s1049" style="position:absolute;left:44;top:21738;width:15526;height:7677;visibility:visible;mso-wrap-style:square;v-text-anchor:top" coordsize="1552575,767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Ct9wgAAANwAAAAPAAAAZHJzL2Rvd25yZXYueG1sRE/bisIw&#10;EH0X/IcwC/um6QqKVqMsguwKgngDH8dmbLs2k24Ta/17Iwi+zeFcZzJrTCFqqlxuWcFXNwJBnFid&#10;c6pgv1t0hiCcR9ZYWCYFd3Iwm7ZbE4y1vfGG6q1PRQhhF6OCzPsyltIlGRl0XVsSB+5sK4M+wCqV&#10;usJbCDeF7EXRQBrMOTRkWNI8o+SyvRoF/0f8OfydjrvVvb5gv0z6a9sslfr8aL7HIDw1/i1+uX91&#10;mD8cwfOZcIGcPgAAAP//AwBQSwECLQAUAAYACAAAACEA2+H2y+4AAACFAQAAEwAAAAAAAAAAAAAA&#10;AAAAAAAAW0NvbnRlbnRfVHlwZXNdLnhtbFBLAQItABQABgAIAAAAIQBa9CxbvwAAABUBAAALAAAA&#10;AAAAAAAAAAAAAB8BAABfcmVscy8ucmVsc1BLAQItABQABgAIAAAAIQDvBCt9wgAAANwAAAAPAAAA&#10;AAAAAAAAAAAAAAcCAABkcnMvZG93bnJldi54bWxQSwUGAAAAAAMAAwC3AAAA9gIAAAAA&#10;" path="m436829,l,230098r209257,l209257,326034r2439,38107l230609,437524r16075,35010l266906,506246r24168,32282l318990,569247r31463,29023l385265,625466r37961,25234l464136,673842r43660,20915l554007,713314r48561,16066l653281,742822r52665,10686l760364,761305r55970,4776l873658,767702r678472,l1552130,537603r-678472,l825681,532016,781637,516100,742783,491126,710376,458362,685671,419079,669927,374547r-5527,-48513l664400,230098r209258,l436829,xe" filled="f" strokeweight=".24869mm">
                  <v:path arrowok="t"/>
                </v:shape>
                <v:shape id="Graphic 190" o:spid="_x0000_s1050" style="position:absolute;left:1853;top:26036;width:10910;height:3455;visibility:visible;mso-wrap-style:square;v-text-anchor:top" coordsize="1090930,345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eqvxQAAANwAAAAPAAAAZHJzL2Rvd25yZXYueG1sRI9BSwMx&#10;EIXvQv9DmIIXaZN6KLo2LaVQEA+CbRF6GzfjZu1msiRxu/575yB4m+G9ee+b1WYMnRoo5TayhcXc&#10;gCKuo2u5sXA67mcPoHJBdthFJgs/lGGzntyssHLxym80HEqjJIRzhRZ8KX2lda49Bczz2BOL9hlT&#10;wCJrarRLeJXw0Ol7Y5Y6YMvS4LGnnaf6cvgOFu7eS3hdHv3XmXYfbJoXM/h0svZ2Om6fQBUay7/5&#10;7/rZCf6j4MszMoFe/wIAAP//AwBQSwECLQAUAAYACAAAACEA2+H2y+4AAACFAQAAEwAAAAAAAAAA&#10;AAAAAAAAAAAAW0NvbnRlbnRfVHlwZXNdLnhtbFBLAQItABQABgAIAAAAIQBa9CxbvwAAABUBAAAL&#10;AAAAAAAAAAAAAAAAAB8BAABfcmVscy8ucmVsc1BLAQItABQABgAIAAAAIQAqLeqvxQAAANwAAAAP&#10;AAAAAAAAAAAAAAAAAAcCAABkcnMvZG93bnJldi54bWxQSwUGAAAAAAMAAwC3AAAA+QIAAAAA&#10;" path="m1090663,l,,,345046r1090663,l1090663,xe" stroked="f">
                  <v:path arrowok="t"/>
                </v:shape>
                <v:shape id="Textbox 191" o:spid="_x0000_s1051" type="#_x0000_t202" style="position:absolute;left:1853;top:25529;width:12820;height:45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SU4wQAAANwAAAAPAAAAZHJzL2Rvd25yZXYueG1sRE9Ni8Iw&#10;EL0v+B/CCN7WVA+6W40ioiDowVUvexuasSk2k5LEWv+9WVjwNo/3OfNlZ2vRkg+VYwWjYQaCuHC6&#10;4lLB5bz9/AIRIrLG2jEpeFKA5aL3Mcdcuwf/UHuKpUghHHJUYGJscilDYchiGLqGOHFX5y3GBH0p&#10;tcdHCre1HGfZRFqsODUYbGhtqLid7lbBcRw7v9sfNvfpeWt+aeMv7WGq1KDfrWYgInXxLf5373Sa&#10;/z2Cv2fSBXLxAgAA//8DAFBLAQItABQABgAIAAAAIQDb4fbL7gAAAIUBAAATAAAAAAAAAAAAAAAA&#10;AAAAAABbQ29udGVudF9UeXBlc10ueG1sUEsBAi0AFAAGAAgAAAAhAFr0LFu/AAAAFQEAAAsAAAAA&#10;AAAAAAAAAAAAHwEAAF9yZWxzLy5yZWxzUEsBAi0AFAAGAAgAAAAhAGuRJTjBAAAA3AAAAA8AAAAA&#10;AAAAAAAAAAAABwIAAGRycy9kb3ducmV2LnhtbFBLBQYAAAAAAwADALcAAAD1AgAAAAA=&#10;" filled="f" strokeweight=".24869mm">
                  <v:textbox inset="0,0,0,0">
                    <w:txbxContent>
                      <w:p w14:paraId="250E0F23" w14:textId="77777777" w:rsidR="00E62C33" w:rsidRPr="008C662E" w:rsidRDefault="00E62C33" w:rsidP="009646F1">
                        <w:pPr>
                          <w:spacing w:before="48" w:line="257" w:lineRule="auto"/>
                          <w:ind w:left="57"/>
                          <w:rPr>
                            <w:rFonts w:ascii="Times New Roman" w:hAnsi="Times New Roman"/>
                            <w:sz w:val="16"/>
                            <w:szCs w:val="16"/>
                          </w:rPr>
                        </w:pPr>
                        <w:r w:rsidRPr="008C662E">
                          <w:rPr>
                            <w:rFonts w:ascii="Times New Roman" w:hAnsi="Times New Roman"/>
                            <w:spacing w:val="-2"/>
                            <w:w w:val="105"/>
                            <w:sz w:val="16"/>
                            <w:szCs w:val="16"/>
                          </w:rPr>
                          <w:t>Збільшення кількості</w:t>
                        </w:r>
                        <w:r w:rsidRPr="008C662E">
                          <w:rPr>
                            <w:rFonts w:ascii="Times New Roman" w:hAnsi="Times New Roman"/>
                            <w:spacing w:val="-10"/>
                            <w:w w:val="105"/>
                            <w:sz w:val="16"/>
                            <w:szCs w:val="16"/>
                          </w:rPr>
                          <w:t xml:space="preserve"> </w:t>
                        </w:r>
                        <w:r w:rsidRPr="008C662E">
                          <w:rPr>
                            <w:rFonts w:ascii="Times New Roman" w:hAnsi="Times New Roman"/>
                            <w:spacing w:val="-2"/>
                            <w:w w:val="105"/>
                            <w:sz w:val="16"/>
                            <w:szCs w:val="16"/>
                          </w:rPr>
                          <w:t>населення</w:t>
                        </w:r>
                      </w:p>
                    </w:txbxContent>
                  </v:textbox>
                </v:shape>
                <v:shape id="Textbox 192" o:spid="_x0000_s1052" type="#_x0000_t202" style="position:absolute;left:19088;top:24647;width:14709;height: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7tPwgAAANwAAAAPAAAAZHJzL2Rvd25yZXYueG1sRE9Ni8Iw&#10;EL0v+B/CCN7W1B507RpFREHQg6te9jY0s03ZZlKSWOu/NwsL3ubxPmex6m0jOvKhdqxgMs5AEJdO&#10;11wpuF527x8gQkTW2DgmBQ8KsFoO3hZYaHfnL+rOsRIphEOBCkyMbSFlKA1ZDGPXEifux3mLMUFf&#10;Se3xnsJtI/Msm0qLNacGgy1tDJW/55tVcMpj7/eH4/Y2u+zMN239tTvOlBoN+/UniEh9fIn/3Xud&#10;5s9z+HsmXSCXTwAAAP//AwBQSwECLQAUAAYACAAAACEA2+H2y+4AAACFAQAAEwAAAAAAAAAAAAAA&#10;AAAAAAAAW0NvbnRlbnRfVHlwZXNdLnhtbFBLAQItABQABgAIAAAAIQBa9CxbvwAAABUBAAALAAAA&#10;AAAAAAAAAAAAAB8BAABfcmVscy8ucmVsc1BLAQItABQABgAIAAAAIQCbQ7tPwgAAANwAAAAPAAAA&#10;AAAAAAAAAAAAAAcCAABkcnMvZG93bnJldi54bWxQSwUGAAAAAAMAAwC3AAAA9gIAAAAA&#10;" filled="f" strokeweight=".24869mm">
                  <v:textbox inset="0,0,0,0">
                    <w:txbxContent>
                      <w:p w14:paraId="27677334" w14:textId="77777777" w:rsidR="00E62C33" w:rsidRPr="008C662E" w:rsidRDefault="00E62C33" w:rsidP="00E62C33">
                        <w:pPr>
                          <w:spacing w:before="86"/>
                          <w:ind w:left="483"/>
                          <w:rPr>
                            <w:rFonts w:ascii="Times New Roman" w:hAnsi="Times New Roman"/>
                            <w:sz w:val="16"/>
                            <w:szCs w:val="16"/>
                          </w:rPr>
                        </w:pPr>
                        <w:r w:rsidRPr="008C662E">
                          <w:rPr>
                            <w:rFonts w:ascii="Times New Roman" w:hAnsi="Times New Roman"/>
                            <w:spacing w:val="-2"/>
                            <w:w w:val="105"/>
                            <w:sz w:val="16"/>
                            <w:szCs w:val="16"/>
                          </w:rPr>
                          <w:t>Суспільство</w:t>
                        </w:r>
                      </w:p>
                    </w:txbxContent>
                  </v:textbox>
                </v:shape>
                <v:shape id="Textbox 193" o:spid="_x0000_s1053" type="#_x0000_t202" style="position:absolute;left:42917;top:22419;width:17861;height:69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Dx7UwgAAANwAAAAPAAAAZHJzL2Rvd25yZXYueG1sRE9NawIx&#10;EL0X+h/CFHqr2VpQuzWKiIKgB1299DZsppulm8mSxHX990YQvM3jfc503ttGdORD7VjB5yADQVw6&#10;XXOl4HRcf0xAhIissXFMCq4UYD57fZlirt2FD9QVsRIphEOOCkyMbS5lKA1ZDAPXEifuz3mLMUFf&#10;Se3xksJtI4dZNpIWa04NBltaGir/i7NVsB/G3m+2u9V5fFybX1r5U7cbK/X+1i9+QETq41P8cG90&#10;mv/9Bfdn0gVydgMAAP//AwBQSwECLQAUAAYACAAAACEA2+H2y+4AAACFAQAAEwAAAAAAAAAAAAAA&#10;AAAAAAAAW0NvbnRlbnRfVHlwZXNdLnhtbFBLAQItABQABgAIAAAAIQBa9CxbvwAAABUBAAALAAAA&#10;AAAAAAAAAAAAAB8BAABfcmVscy8ucmVsc1BLAQItABQABgAIAAAAIQD0Dx7UwgAAANwAAAAPAAAA&#10;AAAAAAAAAAAAAAcCAABkcnMvZG93bnJldi54bWxQSwUGAAAAAAMAAwC3AAAA9gIAAAAA&#10;" filled="f" strokeweight=".24869mm">
                  <v:textbox inset="0,0,0,0">
                    <w:txbxContent>
                      <w:p w14:paraId="1DB686E7" w14:textId="77777777" w:rsidR="00E62C33" w:rsidRPr="008C662E" w:rsidRDefault="00E62C33" w:rsidP="00E62C33">
                        <w:pPr>
                          <w:spacing w:before="5" w:line="252" w:lineRule="auto"/>
                          <w:ind w:left="326" w:right="326" w:firstLine="3"/>
                          <w:jc w:val="center"/>
                          <w:rPr>
                            <w:rFonts w:ascii="Times New Roman" w:hAnsi="Times New Roman"/>
                            <w:sz w:val="16"/>
                            <w:szCs w:val="16"/>
                          </w:rPr>
                        </w:pPr>
                        <w:r w:rsidRPr="008C662E">
                          <w:rPr>
                            <w:rFonts w:ascii="Times New Roman" w:hAnsi="Times New Roman"/>
                            <w:w w:val="105"/>
                            <w:sz w:val="16"/>
                            <w:szCs w:val="16"/>
                          </w:rPr>
                          <w:t xml:space="preserve">Впровадження нових </w:t>
                        </w:r>
                        <w:r w:rsidRPr="008C662E">
                          <w:rPr>
                            <w:rFonts w:ascii="Times New Roman" w:hAnsi="Times New Roman"/>
                            <w:spacing w:val="-2"/>
                            <w:w w:val="105"/>
                            <w:sz w:val="16"/>
                            <w:szCs w:val="16"/>
                          </w:rPr>
                          <w:t>технологій природокористування</w:t>
                        </w:r>
                      </w:p>
                    </w:txbxContent>
                  </v:textbox>
                </v:shape>
                <v:shape id="Textbox 194" o:spid="_x0000_s1054" type="#_x0000_t202" style="position:absolute;left:37755;top:16204;width:11563;height:5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5oagwgAAANwAAAAPAAAAZHJzL2Rvd25yZXYueG1sRE9NawIx&#10;EL0X+h/CFHqr2UpRuzWKiIKgB1299DZsppulm8mSxHX990YQvM3jfc503ttGdORD7VjB5yADQVw6&#10;XXOl4HRcf0xAhIissXFMCq4UYD57fZlirt2FD9QVsRIphEOOCkyMbS5lKA1ZDAPXEifuz3mLMUFf&#10;Se3xksJtI4dZNpIWa04NBltaGir/i7NVsB/G3m+2u9V5fFybX1r5U7cbK/X+1i9+QETq41P8cG90&#10;mv/9Bfdn0gVydgMAAP//AwBQSwECLQAUAAYACAAAACEA2+H2y+4AAACFAQAAEwAAAAAAAAAAAAAA&#10;AAAAAAAAW0NvbnRlbnRfVHlwZXNdLnhtbFBLAQItABQABgAIAAAAIQBa9CxbvwAAABUBAAALAAAA&#10;AAAAAAAAAAAAAB8BAABfcmVscy8ucmVsc1BLAQItABQABgAIAAAAIQB75oagwgAAANwAAAAPAAAA&#10;AAAAAAAAAAAAAAcCAABkcnMvZG93bnJldi54bWxQSwUGAAAAAAMAAwC3AAAA9gIAAAAA&#10;" filled="f" strokeweight=".24869mm">
                  <v:textbox inset="0,0,0,0">
                    <w:txbxContent>
                      <w:p w14:paraId="1391F4B5" w14:textId="77777777" w:rsidR="00E62C33" w:rsidRDefault="00E62C33" w:rsidP="00E62C33">
                        <w:pPr>
                          <w:spacing w:before="105" w:line="254" w:lineRule="auto"/>
                          <w:ind w:left="8" w:right="4"/>
                          <w:jc w:val="center"/>
                          <w:rPr>
                            <w:rFonts w:ascii="Times New Roman" w:hAnsi="Times New Roman"/>
                            <w:sz w:val="18"/>
                          </w:rPr>
                        </w:pPr>
                        <w:r>
                          <w:rPr>
                            <w:rFonts w:ascii="Times New Roman" w:hAnsi="Times New Roman"/>
                            <w:spacing w:val="-2"/>
                            <w:w w:val="105"/>
                            <w:sz w:val="18"/>
                          </w:rPr>
                          <w:t>Отримання</w:t>
                        </w:r>
                        <w:r>
                          <w:rPr>
                            <w:rFonts w:ascii="Times New Roman" w:hAnsi="Times New Roman"/>
                            <w:spacing w:val="-10"/>
                            <w:w w:val="105"/>
                            <w:sz w:val="18"/>
                          </w:rPr>
                          <w:t xml:space="preserve"> </w:t>
                        </w:r>
                        <w:r>
                          <w:rPr>
                            <w:rFonts w:ascii="Times New Roman" w:hAnsi="Times New Roman"/>
                            <w:spacing w:val="-2"/>
                            <w:w w:val="105"/>
                            <w:sz w:val="18"/>
                          </w:rPr>
                          <w:t xml:space="preserve">прибутку </w:t>
                        </w:r>
                        <w:r>
                          <w:rPr>
                            <w:rFonts w:ascii="Times New Roman" w:hAnsi="Times New Roman"/>
                            <w:w w:val="105"/>
                            <w:sz w:val="18"/>
                          </w:rPr>
                          <w:t>та матеріал матеріальних благ</w:t>
                        </w:r>
                      </w:p>
                    </w:txbxContent>
                  </v:textbox>
                </v:shape>
                <v:shape id="Textbox 195" o:spid="_x0000_s1055" type="#_x0000_t202" style="position:absolute;left:18843;top:16308;width:14954;height:4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iM7wgAAANwAAAAPAAAAZHJzL2Rvd25yZXYueG1sRE9NawIx&#10;EL0X+h/CFHqr2QpVuzWKiIKgB1299DZsppulm8mSxHX990YQvM3jfc503ttGdORD7VjB5yADQVw6&#10;XXOl4HRcf0xAhIissXFMCq4UYD57fZlirt2FD9QVsRIphEOOCkyMbS5lKA1ZDAPXEifuz3mLMUFf&#10;Se3xksJtI4dZNpIWa04NBltaGir/i7NVsB/G3m+2u9V5fFybX1r5U7cbK/X+1i9+QETq41P8cG90&#10;mv/9Bfdn0gVydgMAAP//AwBQSwECLQAUAAYACAAAACEA2+H2y+4AAACFAQAAEwAAAAAAAAAAAAAA&#10;AAAAAAAAW0NvbnRlbnRfVHlwZXNdLnhtbFBLAQItABQABgAIAAAAIQBa9CxbvwAAABUBAAALAAAA&#10;AAAAAAAAAAAAAB8BAABfcmVscy8ucmVsc1BLAQItABQABgAIAAAAIQAUqiM7wgAAANwAAAAPAAAA&#10;AAAAAAAAAAAAAAcCAABkcnMvZG93bnJldi54bWxQSwUGAAAAAAMAAwC3AAAA9gIAAAAA&#10;" filled="f" strokeweight=".24869mm">
                  <v:textbox inset="0,0,0,0">
                    <w:txbxContent>
                      <w:p w14:paraId="0DC6D6A9" w14:textId="77777777" w:rsidR="00E62C33" w:rsidRPr="008C662E" w:rsidRDefault="00E62C33" w:rsidP="008C662E">
                        <w:pPr>
                          <w:spacing w:after="0"/>
                          <w:jc w:val="center"/>
                          <w:rPr>
                            <w:rFonts w:ascii="Times New Roman" w:hAnsi="Times New Roman"/>
                            <w:sz w:val="16"/>
                            <w:szCs w:val="16"/>
                          </w:rPr>
                        </w:pPr>
                        <w:r w:rsidRPr="008C662E">
                          <w:rPr>
                            <w:rFonts w:ascii="Times New Roman" w:hAnsi="Times New Roman"/>
                            <w:w w:val="105"/>
                            <w:sz w:val="16"/>
                            <w:szCs w:val="16"/>
                          </w:rPr>
                          <w:t xml:space="preserve">Зниження якості </w:t>
                        </w:r>
                        <w:r w:rsidRPr="008C662E">
                          <w:rPr>
                            <w:rFonts w:ascii="Times New Roman" w:hAnsi="Times New Roman"/>
                            <w:spacing w:val="-2"/>
                            <w:w w:val="105"/>
                            <w:sz w:val="16"/>
                            <w:szCs w:val="16"/>
                          </w:rPr>
                          <w:t>природних</w:t>
                        </w:r>
                        <w:r w:rsidRPr="008C662E">
                          <w:rPr>
                            <w:rFonts w:ascii="Times New Roman" w:hAnsi="Times New Roman"/>
                            <w:spacing w:val="-10"/>
                            <w:w w:val="105"/>
                            <w:sz w:val="16"/>
                            <w:szCs w:val="16"/>
                          </w:rPr>
                          <w:t xml:space="preserve"> </w:t>
                        </w:r>
                        <w:r w:rsidRPr="008C662E">
                          <w:rPr>
                            <w:rFonts w:ascii="Times New Roman" w:hAnsi="Times New Roman"/>
                            <w:spacing w:val="-2"/>
                            <w:w w:val="105"/>
                            <w:sz w:val="16"/>
                            <w:szCs w:val="16"/>
                          </w:rPr>
                          <w:t>ресурсів</w:t>
                        </w:r>
                      </w:p>
                    </w:txbxContent>
                  </v:textbox>
                </v:shape>
                <v:shape id="Textbox 196" o:spid="_x0000_s1056" type="#_x0000_t202" style="position:absolute;left:689;top:16309;width:14954;height:6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L1MwgAAANwAAAAPAAAAZHJzL2Rvd25yZXYueG1sRE9Li8Iw&#10;EL4L/ocwC940XQ8+ukYRURD0sD4u3oZmtik2k5LEWv+9WVjY23x8z1msOluLlnyoHCv4HGUgiAun&#10;Ky4VXC+74QxEiMgaa8ek4EUBVst+b4G5dk8+UXuOpUghHHJUYGJscilDYchiGLmGOHE/zluMCfpS&#10;ao/PFG5rOc6yibRYcWow2NDGUHE/P6yC73Hs/P5w3D6ml5250dZf2+NUqcFHt/4CEamL/+I/916n&#10;+fMJ/D6TLpDLNwAAAP//AwBQSwECLQAUAAYACAAAACEA2+H2y+4AAACFAQAAEwAAAAAAAAAAAAAA&#10;AAAAAAAAW0NvbnRlbnRfVHlwZXNdLnhtbFBLAQItABQABgAIAAAAIQBa9CxbvwAAABUBAAALAAAA&#10;AAAAAAAAAAAAAB8BAABfcmVscy8ucmVsc1BLAQItABQABgAIAAAAIQDkeL1MwgAAANwAAAAPAAAA&#10;AAAAAAAAAAAAAAcCAABkcnMvZG93bnJldi54bWxQSwUGAAAAAAMAAwC3AAAA9gIAAAAA&#10;" filled="f" strokeweight=".24869mm">
                  <v:textbox inset="0,0,0,0">
                    <w:txbxContent>
                      <w:p w14:paraId="62F03CD7" w14:textId="77777777" w:rsidR="00E62C33" w:rsidRPr="008C662E" w:rsidRDefault="00E62C33" w:rsidP="009646F1">
                        <w:pPr>
                          <w:ind w:left="511" w:hanging="7"/>
                          <w:rPr>
                            <w:rFonts w:ascii="Times New Roman" w:hAnsi="Times New Roman"/>
                            <w:sz w:val="16"/>
                            <w:szCs w:val="16"/>
                          </w:rPr>
                        </w:pPr>
                        <w:r w:rsidRPr="008C662E">
                          <w:rPr>
                            <w:rFonts w:ascii="Times New Roman" w:hAnsi="Times New Roman"/>
                            <w:spacing w:val="-2"/>
                            <w:w w:val="105"/>
                            <w:sz w:val="16"/>
                            <w:szCs w:val="16"/>
                          </w:rPr>
                          <w:t>Зниження</w:t>
                        </w:r>
                        <w:r w:rsidRPr="008C662E">
                          <w:rPr>
                            <w:rFonts w:ascii="Times New Roman" w:hAnsi="Times New Roman"/>
                            <w:spacing w:val="-10"/>
                            <w:w w:val="105"/>
                            <w:sz w:val="16"/>
                            <w:szCs w:val="16"/>
                          </w:rPr>
                          <w:t xml:space="preserve"> </w:t>
                        </w:r>
                        <w:r w:rsidRPr="008C662E">
                          <w:rPr>
                            <w:rFonts w:ascii="Times New Roman" w:hAnsi="Times New Roman"/>
                            <w:spacing w:val="-2"/>
                            <w:w w:val="105"/>
                            <w:sz w:val="16"/>
                            <w:szCs w:val="16"/>
                          </w:rPr>
                          <w:t xml:space="preserve">якості </w:t>
                        </w:r>
                        <w:r w:rsidRPr="008C662E">
                          <w:rPr>
                            <w:rFonts w:ascii="Times New Roman" w:hAnsi="Times New Roman"/>
                            <w:w w:val="105"/>
                            <w:sz w:val="16"/>
                            <w:szCs w:val="16"/>
                          </w:rPr>
                          <w:t>природних</w:t>
                        </w:r>
                        <w:r w:rsidRPr="008C662E">
                          <w:rPr>
                            <w:rFonts w:ascii="Times New Roman" w:hAnsi="Times New Roman"/>
                            <w:spacing w:val="-8"/>
                            <w:w w:val="105"/>
                            <w:sz w:val="16"/>
                            <w:szCs w:val="16"/>
                          </w:rPr>
                          <w:t xml:space="preserve"> </w:t>
                        </w:r>
                        <w:r w:rsidRPr="008C662E">
                          <w:rPr>
                            <w:rFonts w:ascii="Times New Roman" w:hAnsi="Times New Roman"/>
                            <w:spacing w:val="-4"/>
                            <w:w w:val="105"/>
                            <w:sz w:val="16"/>
                            <w:szCs w:val="16"/>
                          </w:rPr>
                          <w:t>умов</w:t>
                        </w:r>
                      </w:p>
                    </w:txbxContent>
                  </v:textbox>
                </v:shape>
                <v:shape id="Textbox 197" o:spid="_x0000_s1057" type="#_x0000_t202" style="position:absolute;left:36412;top:8204;width:18406;height:39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BjXwgAAANwAAAAPAAAAZHJzL2Rvd25yZXYueG1sRE9Ni8Iw&#10;EL0v+B/CCN7WVA927RpFREHQg6te9jY0s03ZZlKSWOu/NwsL3ubxPmex6m0jOvKhdqxgMs5AEJdO&#10;11wpuF527x8gQkTW2DgmBQ8KsFoO3hZYaHfnL+rOsRIphEOBCkyMbSFlKA1ZDGPXEifux3mLMUFf&#10;Se3xnsJtI6dZNpMWa04NBlvaGCp/zzer4DSNvd8fjttbftmZb9r6a3fMlRoN+/UniEh9fIn/3Xud&#10;5s9z+HsmXSCXTwAAAP//AwBQSwECLQAUAAYACAAAACEA2+H2y+4AAACFAQAAEwAAAAAAAAAAAAAA&#10;AAAAAAAAW0NvbnRlbnRfVHlwZXNdLnhtbFBLAQItABQABgAIAAAAIQBa9CxbvwAAABUBAAALAAAA&#10;AAAAAAAAAAAAAB8BAABfcmVscy8ucmVsc1BLAQItABQABgAIAAAAIQCLNBjXwgAAANwAAAAPAAAA&#10;AAAAAAAAAAAAAAcCAABkcnMvZG93bnJldi54bWxQSwUGAAAAAAMAAwC3AAAA9gIAAAAA&#10;" filled="f" strokeweight=".24869mm">
                  <v:textbox inset="0,0,0,0">
                    <w:txbxContent>
                      <w:p w14:paraId="7A7FD8E4" w14:textId="77777777" w:rsidR="00E62C33" w:rsidRPr="007E436B" w:rsidRDefault="00E62C33" w:rsidP="00E62C33">
                        <w:pPr>
                          <w:spacing w:before="47"/>
                          <w:ind w:left="467"/>
                          <w:rPr>
                            <w:rFonts w:ascii="Times New Roman" w:hAnsi="Times New Roman"/>
                            <w:sz w:val="16"/>
                            <w:szCs w:val="16"/>
                          </w:rPr>
                        </w:pPr>
                        <w:r w:rsidRPr="007E436B">
                          <w:rPr>
                            <w:rFonts w:ascii="Times New Roman" w:hAnsi="Times New Roman"/>
                            <w:spacing w:val="-2"/>
                            <w:w w:val="105"/>
                            <w:sz w:val="16"/>
                            <w:szCs w:val="16"/>
                          </w:rPr>
                          <w:t>Господарство</w:t>
                        </w:r>
                      </w:p>
                    </w:txbxContent>
                  </v:textbox>
                </v:shape>
                <v:shape id="Textbox 198" o:spid="_x0000_s1058" type="#_x0000_t202" style="position:absolute;left:1853;top:5846;width:12145;height:6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q4ylxQAAANwAAAAPAAAAZHJzL2Rvd25yZXYueG1sRI9Bb8Iw&#10;DIXvk/YfIk/iNtJxgK0QEJpAQhqHDbjsZjWmqWicKgml+/f4gLSbrff83ufFavCt6immJrCBt3EB&#10;irgKtuHawOm4fX0HlTKyxTYwGfijBKvl89MCSxtu/EP9IddKQjiVaMDl3JVap8qRxzQOHbFo5xA9&#10;ZlljrW3Em4T7Vk+KYqo9NiwNDjv6dFRdDldv4HuSh7j72m+us+PW/dImnvr9zJjRy7Ceg8o05H/z&#10;43pnBf9DaOUZmUAv7wAAAP//AwBQSwECLQAUAAYACAAAACEA2+H2y+4AAACFAQAAEwAAAAAAAAAA&#10;AAAAAAAAAAAAW0NvbnRlbnRfVHlwZXNdLnhtbFBLAQItABQABgAIAAAAIQBa9CxbvwAAABUBAAAL&#10;AAAAAAAAAAAAAAAAAB8BAABfcmVscy8ucmVsc1BLAQItABQABgAIAAAAIQD6q4ylxQAAANwAAAAP&#10;AAAAAAAAAAAAAAAAAAcCAABkcnMvZG93bnJldi54bWxQSwUGAAAAAAMAAwC3AAAA+QIAAAAA&#10;" filled="f" strokeweight=".24869mm">
                  <v:textbox inset="0,0,0,0">
                    <w:txbxContent>
                      <w:p w14:paraId="35EC6A53" w14:textId="60BB41CB" w:rsidR="00E62C33" w:rsidRPr="00265D4E" w:rsidRDefault="00E62C33" w:rsidP="00265D4E">
                        <w:pPr>
                          <w:spacing w:before="53"/>
                          <w:ind w:left="398" w:right="395" w:firstLine="76"/>
                          <w:jc w:val="center"/>
                          <w:rPr>
                            <w:rFonts w:ascii="Times New Roman" w:hAnsi="Times New Roman"/>
                            <w:sz w:val="16"/>
                            <w:szCs w:val="16"/>
                          </w:rPr>
                        </w:pPr>
                        <w:r w:rsidRPr="00265D4E">
                          <w:rPr>
                            <w:rFonts w:ascii="Times New Roman" w:hAnsi="Times New Roman"/>
                            <w:spacing w:val="-2"/>
                            <w:w w:val="105"/>
                            <w:sz w:val="16"/>
                            <w:szCs w:val="16"/>
                          </w:rPr>
                          <w:t>Прир</w:t>
                        </w:r>
                        <w:r w:rsidR="009646F1">
                          <w:rPr>
                            <w:rFonts w:ascii="Times New Roman" w:hAnsi="Times New Roman"/>
                            <w:spacing w:val="-2"/>
                            <w:w w:val="105"/>
                            <w:sz w:val="16"/>
                            <w:szCs w:val="16"/>
                          </w:rPr>
                          <w:t>од</w:t>
                        </w:r>
                        <w:r w:rsidRPr="00265D4E">
                          <w:rPr>
                            <w:rFonts w:ascii="Times New Roman" w:hAnsi="Times New Roman"/>
                            <w:spacing w:val="-2"/>
                            <w:w w:val="105"/>
                            <w:sz w:val="16"/>
                            <w:szCs w:val="16"/>
                          </w:rPr>
                          <w:t>не</w:t>
                        </w:r>
                        <w:r w:rsidR="00265D4E" w:rsidRPr="00265D4E">
                          <w:rPr>
                            <w:rFonts w:ascii="Times New Roman" w:hAnsi="Times New Roman"/>
                            <w:spacing w:val="-2"/>
                            <w:w w:val="105"/>
                            <w:sz w:val="16"/>
                            <w:szCs w:val="16"/>
                          </w:rPr>
                          <w:t xml:space="preserve"> </w:t>
                        </w:r>
                        <w:r w:rsidRPr="00265D4E">
                          <w:rPr>
                            <w:rFonts w:ascii="Times New Roman" w:hAnsi="Times New Roman"/>
                            <w:spacing w:val="-2"/>
                            <w:w w:val="105"/>
                            <w:sz w:val="16"/>
                            <w:szCs w:val="16"/>
                          </w:rPr>
                          <w:t>середовище</w:t>
                        </w:r>
                      </w:p>
                    </w:txbxContent>
                  </v:textbox>
                </v:shape>
                <v:shape id="Textbox 199" o:spid="_x0000_s1059" type="#_x0000_t202" style="position:absolute;left:16849;top:5840;width:15920;height:7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5yk+wQAAANwAAAAPAAAAZHJzL2Rvd25yZXYueG1sRE9Ni8Iw&#10;EL0v+B/CCN7WVA+6do0ioiDowVUvexuasSk2k5LEWv+9WVjwNo/3OfNlZ2vRkg+VYwWjYQaCuHC6&#10;4lLB5bz9/AIRIrLG2jEpeFKA5aL3Mcdcuwf/UHuKpUghHHJUYGJscilDYchiGLqGOHFX5y3GBH0p&#10;tcdHCre1HGfZRFqsODUYbGhtqLid7lbBcRw7v9sfNvfpeWt+aeMv7WGq1KDfrb5BROriW/zv3uk0&#10;fzaDv2fSBXLxAgAA//8DAFBLAQItABQABgAIAAAAIQDb4fbL7gAAAIUBAAATAAAAAAAAAAAAAAAA&#10;AAAAAABbQ29udGVudF9UeXBlc10ueG1sUEsBAi0AFAAGAAgAAAAhAFr0LFu/AAAAFQEAAAsAAAAA&#10;AAAAAAAAAAAAHwEAAF9yZWxzLy5yZWxzUEsBAi0AFAAGAAgAAAAhAJXnKT7BAAAA3AAAAA8AAAAA&#10;AAAAAAAAAAAABwIAAGRycy9kb3ducmV2LnhtbFBLBQYAAAAAAwADALcAAAD1AgAAAAA=&#10;" filled="f" strokeweight=".24869mm">
                  <v:textbox inset="0,0,0,0">
                    <w:txbxContent>
                      <w:p w14:paraId="29CF0FD2" w14:textId="49C9A6A5" w:rsidR="00E62C33" w:rsidRPr="009646F1" w:rsidRDefault="00E62C33" w:rsidP="009646F1">
                        <w:pPr>
                          <w:spacing w:before="13" w:line="254" w:lineRule="auto"/>
                          <w:ind w:left="220" w:right="223"/>
                          <w:jc w:val="center"/>
                          <w:rPr>
                            <w:rFonts w:ascii="Times New Roman" w:hAnsi="Times New Roman"/>
                            <w:spacing w:val="-2"/>
                            <w:w w:val="105"/>
                            <w:sz w:val="16"/>
                            <w:szCs w:val="16"/>
                          </w:rPr>
                        </w:pPr>
                        <w:r w:rsidRPr="00300006">
                          <w:rPr>
                            <w:rFonts w:ascii="Times New Roman" w:hAnsi="Times New Roman"/>
                            <w:spacing w:val="-2"/>
                            <w:w w:val="105"/>
                            <w:sz w:val="16"/>
                            <w:szCs w:val="16"/>
                          </w:rPr>
                          <w:t>Використання</w:t>
                        </w:r>
                        <w:r w:rsidR="008C662E" w:rsidRPr="00300006">
                          <w:rPr>
                            <w:rFonts w:ascii="Times New Roman" w:hAnsi="Times New Roman"/>
                            <w:spacing w:val="-2"/>
                            <w:w w:val="105"/>
                            <w:sz w:val="16"/>
                            <w:szCs w:val="16"/>
                          </w:rPr>
                          <w:t xml:space="preserve"> </w:t>
                        </w:r>
                        <w:r w:rsidRPr="00300006">
                          <w:rPr>
                            <w:rFonts w:ascii="Times New Roman" w:hAnsi="Times New Roman"/>
                            <w:spacing w:val="-2"/>
                            <w:w w:val="105"/>
                            <w:sz w:val="16"/>
                            <w:szCs w:val="16"/>
                          </w:rPr>
                          <w:t xml:space="preserve">невідновлювальних </w:t>
                        </w:r>
                        <w:r w:rsidRPr="00300006">
                          <w:rPr>
                            <w:rFonts w:ascii="Times New Roman" w:hAnsi="Times New Roman"/>
                            <w:w w:val="105"/>
                            <w:sz w:val="16"/>
                            <w:szCs w:val="16"/>
                          </w:rPr>
                          <w:t>природних</w:t>
                        </w:r>
                        <w:r>
                          <w:rPr>
                            <w:rFonts w:ascii="Times New Roman" w:hAnsi="Times New Roman"/>
                            <w:spacing w:val="-10"/>
                            <w:w w:val="105"/>
                            <w:sz w:val="18"/>
                          </w:rPr>
                          <w:t xml:space="preserve"> </w:t>
                        </w:r>
                        <w:r>
                          <w:rPr>
                            <w:rFonts w:ascii="Times New Roman" w:hAnsi="Times New Roman"/>
                            <w:spacing w:val="-2"/>
                            <w:w w:val="105"/>
                            <w:sz w:val="18"/>
                          </w:rPr>
                          <w:t>ресурсів</w:t>
                        </w:r>
                      </w:p>
                    </w:txbxContent>
                  </v:textbox>
                </v:shape>
                <v:shape id="Textbox 200" o:spid="_x0000_s1060" type="#_x0000_t202" style="position:absolute;left:32129;top:44;width:25978;height:5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8nRYxAAAANwAAAAPAAAAZHJzL2Rvd25yZXYueG1sRI/BasMw&#10;EETvhf6D2EJvjdwc6uBGCSEkEKgPiZ1Lb4u1tUytlZEU2/37KlDocZiZN8x6O9tejORD51jB6yID&#10;Qdw43XGr4FofX1YgQkTW2DsmBT8UYLt5fFhjod3EFxqr2IoE4VCgAhPjUEgZGkMWw8INxMn7ct5i&#10;TNK3UnucEtz2cpllb9Jix2nB4EB7Q813dbMKzss4+9NHebjl9dF80sFfxzJX6vlp3r2DiDTH//Bf&#10;+6QVJCLcz6QjIDe/AAAA//8DAFBLAQItABQABgAIAAAAIQDb4fbL7gAAAIUBAAATAAAAAAAAAAAA&#10;AAAAAAAAAABbQ29udGVudF9UeXBlc10ueG1sUEsBAi0AFAAGAAgAAAAhAFr0LFu/AAAAFQEAAAsA&#10;AAAAAAAAAAAAAAAAHwEAAF9yZWxzLy5yZWxzUEsBAi0AFAAGAAgAAAAhADfydFjEAAAA3AAAAA8A&#10;AAAAAAAAAAAAAAAABwIAAGRycy9kb3ducmV2LnhtbFBLBQYAAAAAAwADALcAAAD4AgAAAAA=&#10;" filled="f" strokeweight=".24869mm">
                  <v:textbox inset="0,0,0,0">
                    <w:txbxContent>
                      <w:p w14:paraId="6D34A03E" w14:textId="3093C5E5" w:rsidR="00E62C33" w:rsidRDefault="00E62C33" w:rsidP="007E436B">
                        <w:pPr>
                          <w:spacing w:before="42" w:line="240" w:lineRule="auto"/>
                          <w:ind w:left="482" w:hanging="312"/>
                          <w:rPr>
                            <w:rFonts w:ascii="Times New Roman" w:hAnsi="Times New Roman"/>
                            <w:sz w:val="18"/>
                          </w:rPr>
                        </w:pPr>
                        <w:r w:rsidRPr="007E436B">
                          <w:rPr>
                            <w:rFonts w:ascii="Times New Roman" w:hAnsi="Times New Roman"/>
                            <w:w w:val="105"/>
                            <w:sz w:val="16"/>
                            <w:szCs w:val="16"/>
                          </w:rPr>
                          <w:t>Ф</w:t>
                        </w:r>
                        <w:r w:rsidR="007E436B" w:rsidRPr="007E436B">
                          <w:rPr>
                            <w:rFonts w:ascii="Times New Roman" w:hAnsi="Times New Roman"/>
                            <w:w w:val="105"/>
                            <w:sz w:val="16"/>
                            <w:szCs w:val="16"/>
                          </w:rPr>
                          <w:t>і</w:t>
                        </w:r>
                        <w:r w:rsidRPr="007E436B">
                          <w:rPr>
                            <w:rFonts w:ascii="Times New Roman" w:hAnsi="Times New Roman"/>
                            <w:w w:val="105"/>
                            <w:sz w:val="16"/>
                            <w:szCs w:val="16"/>
                          </w:rPr>
                          <w:t>зичні,</w:t>
                        </w:r>
                        <w:r w:rsidRPr="007E436B">
                          <w:rPr>
                            <w:rFonts w:ascii="Times New Roman" w:hAnsi="Times New Roman"/>
                            <w:spacing w:val="-12"/>
                            <w:w w:val="105"/>
                            <w:sz w:val="16"/>
                            <w:szCs w:val="16"/>
                          </w:rPr>
                          <w:t xml:space="preserve"> </w:t>
                        </w:r>
                        <w:r w:rsidRPr="007E436B">
                          <w:rPr>
                            <w:rFonts w:ascii="Times New Roman" w:hAnsi="Times New Roman"/>
                            <w:w w:val="105"/>
                            <w:sz w:val="16"/>
                            <w:szCs w:val="16"/>
                          </w:rPr>
                          <w:t>х</w:t>
                        </w:r>
                        <w:r w:rsidR="007E436B" w:rsidRPr="007E436B">
                          <w:rPr>
                            <w:rFonts w:ascii="Times New Roman" w:hAnsi="Times New Roman"/>
                            <w:w w:val="105"/>
                            <w:sz w:val="16"/>
                            <w:szCs w:val="16"/>
                          </w:rPr>
                          <w:t>і</w:t>
                        </w:r>
                        <w:r w:rsidRPr="007E436B">
                          <w:rPr>
                            <w:rFonts w:ascii="Times New Roman" w:hAnsi="Times New Roman"/>
                            <w:w w:val="105"/>
                            <w:sz w:val="16"/>
                            <w:szCs w:val="16"/>
                          </w:rPr>
                          <w:t>мічні,</w:t>
                        </w:r>
                        <w:r w:rsidRPr="007E436B">
                          <w:rPr>
                            <w:rFonts w:ascii="Times New Roman" w:hAnsi="Times New Roman"/>
                            <w:spacing w:val="-12"/>
                            <w:w w:val="105"/>
                            <w:sz w:val="16"/>
                            <w:szCs w:val="16"/>
                          </w:rPr>
                          <w:t xml:space="preserve"> </w:t>
                        </w:r>
                        <w:r w:rsidRPr="007E436B">
                          <w:rPr>
                            <w:rFonts w:ascii="Times New Roman" w:hAnsi="Times New Roman"/>
                            <w:w w:val="105"/>
                            <w:sz w:val="16"/>
                            <w:szCs w:val="16"/>
                          </w:rPr>
                          <w:t>біологічні</w:t>
                        </w:r>
                        <w:r w:rsidRPr="007E436B">
                          <w:rPr>
                            <w:rFonts w:ascii="Times New Roman" w:hAnsi="Times New Roman"/>
                            <w:spacing w:val="-12"/>
                            <w:w w:val="105"/>
                            <w:sz w:val="16"/>
                            <w:szCs w:val="16"/>
                          </w:rPr>
                          <w:t xml:space="preserve"> </w:t>
                        </w:r>
                        <w:r w:rsidRPr="007E436B">
                          <w:rPr>
                            <w:rFonts w:ascii="Times New Roman" w:hAnsi="Times New Roman"/>
                            <w:w w:val="105"/>
                            <w:sz w:val="16"/>
                            <w:szCs w:val="16"/>
                          </w:rPr>
                          <w:t>зміни природного</w:t>
                        </w:r>
                        <w:r>
                          <w:rPr>
                            <w:rFonts w:ascii="Times New Roman" w:hAnsi="Times New Roman"/>
                            <w:w w:val="105"/>
                            <w:sz w:val="18"/>
                          </w:rPr>
                          <w:t xml:space="preserve"> середовища</w:t>
                        </w:r>
                      </w:p>
                    </w:txbxContent>
                  </v:textbox>
                </v:shape>
                <w10:anchorlock/>
              </v:group>
            </w:pict>
          </mc:Fallback>
        </mc:AlternateContent>
      </w:r>
    </w:p>
    <w:p w14:paraId="3CD99646" w14:textId="77777777" w:rsidR="008C662E" w:rsidRDefault="008C662E" w:rsidP="00C62DA9">
      <w:pPr>
        <w:tabs>
          <w:tab w:val="left" w:pos="7220"/>
        </w:tabs>
        <w:adjustRightInd w:val="0"/>
        <w:snapToGrid w:val="0"/>
        <w:spacing w:after="0" w:line="240" w:lineRule="auto"/>
        <w:jc w:val="both"/>
        <w:rPr>
          <w:rFonts w:ascii="Times New Roman" w:hAnsi="Times New Roman" w:cs="Times New Roman"/>
          <w:sz w:val="16"/>
          <w:szCs w:val="16"/>
        </w:rPr>
      </w:pPr>
    </w:p>
    <w:p w14:paraId="5060DA08" w14:textId="50709EAE" w:rsidR="00CE69FF" w:rsidRDefault="00CE69FF" w:rsidP="0012192B">
      <w:pPr>
        <w:tabs>
          <w:tab w:val="left" w:pos="7220"/>
        </w:tabs>
        <w:adjustRightInd w:val="0"/>
        <w:snapToGrid w:val="0"/>
        <w:spacing w:after="0" w:line="240" w:lineRule="auto"/>
        <w:ind w:firstLine="567"/>
        <w:jc w:val="both"/>
        <w:rPr>
          <w:rFonts w:ascii="Times New Roman" w:hAnsi="Times New Roman" w:cs="Times New Roman"/>
          <w:sz w:val="20"/>
          <w:szCs w:val="20"/>
        </w:rPr>
      </w:pPr>
      <w:r>
        <w:rPr>
          <w:rFonts w:ascii="Times New Roman" w:hAnsi="Times New Roman" w:cs="Times New Roman"/>
          <w:sz w:val="20"/>
          <w:szCs w:val="20"/>
        </w:rPr>
        <w:t>Рис. 1.1. Взаємозв</w:t>
      </w:r>
      <w:r w:rsidRPr="00C37F1C">
        <w:rPr>
          <w:rFonts w:ascii="Times New Roman" w:hAnsi="Times New Roman" w:cs="Times New Roman"/>
          <w:sz w:val="20"/>
          <w:szCs w:val="20"/>
        </w:rPr>
        <w:t>’</w:t>
      </w:r>
      <w:r>
        <w:rPr>
          <w:rFonts w:ascii="Times New Roman" w:hAnsi="Times New Roman" w:cs="Times New Roman"/>
          <w:sz w:val="20"/>
          <w:szCs w:val="20"/>
        </w:rPr>
        <w:t xml:space="preserve">язок </w:t>
      </w:r>
      <w:r w:rsidR="00612D17">
        <w:rPr>
          <w:rFonts w:ascii="Times New Roman" w:hAnsi="Times New Roman" w:cs="Times New Roman"/>
          <w:sz w:val="20"/>
          <w:szCs w:val="20"/>
        </w:rPr>
        <w:t>зеленої економіки і суспільного середовища</w:t>
      </w:r>
    </w:p>
    <w:p w14:paraId="6EC367C5" w14:textId="77777777" w:rsidR="00612D17" w:rsidRPr="00CE69FF" w:rsidRDefault="00612D17" w:rsidP="0012192B">
      <w:pPr>
        <w:tabs>
          <w:tab w:val="left" w:pos="7220"/>
        </w:tabs>
        <w:adjustRightInd w:val="0"/>
        <w:snapToGrid w:val="0"/>
        <w:spacing w:after="0" w:line="240" w:lineRule="auto"/>
        <w:ind w:firstLine="567"/>
        <w:jc w:val="both"/>
        <w:rPr>
          <w:rFonts w:ascii="Times New Roman" w:hAnsi="Times New Roman" w:cs="Times New Roman"/>
          <w:sz w:val="20"/>
          <w:szCs w:val="20"/>
        </w:rPr>
      </w:pPr>
    </w:p>
    <w:p w14:paraId="495E0A10" w14:textId="39000231" w:rsidR="00B7775F" w:rsidRPr="00C62DA9" w:rsidRDefault="00B7775F" w:rsidP="0012192B">
      <w:pPr>
        <w:tabs>
          <w:tab w:val="left" w:pos="7220"/>
        </w:tabs>
        <w:adjustRightInd w:val="0"/>
        <w:snapToGrid w:val="0"/>
        <w:spacing w:after="0" w:line="240" w:lineRule="auto"/>
        <w:ind w:firstLine="567"/>
        <w:jc w:val="both"/>
        <w:rPr>
          <w:rFonts w:ascii="Times New Roman" w:hAnsi="Times New Roman" w:cs="Times New Roman"/>
          <w:sz w:val="20"/>
          <w:szCs w:val="20"/>
        </w:rPr>
      </w:pPr>
      <w:r w:rsidRPr="00C62DA9">
        <w:rPr>
          <w:rFonts w:ascii="Times New Roman" w:hAnsi="Times New Roman" w:cs="Times New Roman"/>
          <w:sz w:val="20"/>
          <w:szCs w:val="20"/>
        </w:rPr>
        <w:t>Для реалізації цієї скоординованості потрібна активна гармонізація законодавчої бази держав, узгодження заходів, зокрема щодо реалізації екологічної політики, вироблення спільних напрямів і стандартів.</w:t>
      </w:r>
    </w:p>
    <w:p w14:paraId="37B4F5BC" w14:textId="5F0B5208" w:rsidR="00B7775F" w:rsidRPr="00C62DA9" w:rsidRDefault="00B7775F" w:rsidP="0012192B">
      <w:pPr>
        <w:tabs>
          <w:tab w:val="left" w:pos="7220"/>
        </w:tabs>
        <w:adjustRightInd w:val="0"/>
        <w:snapToGrid w:val="0"/>
        <w:spacing w:after="0" w:line="240" w:lineRule="auto"/>
        <w:ind w:firstLine="567"/>
        <w:jc w:val="both"/>
        <w:rPr>
          <w:rFonts w:ascii="Times New Roman" w:hAnsi="Times New Roman" w:cs="Times New Roman"/>
          <w:sz w:val="20"/>
          <w:szCs w:val="20"/>
        </w:rPr>
      </w:pPr>
      <w:r w:rsidRPr="00C62DA9">
        <w:rPr>
          <w:rFonts w:ascii="Times New Roman" w:hAnsi="Times New Roman" w:cs="Times New Roman"/>
          <w:sz w:val="20"/>
          <w:szCs w:val="20"/>
        </w:rPr>
        <w:t>Таким чином, у результаті об’єктивних процесів трансформування природного середовища під впливом господарської діяльності в єдиній системі природокористування відбуваються процеси трансформації господарської діяльності та способу життя і мислення людини. Такі процеси можна назвати екологічною трансформацією господарства, тобто створення нового,</w:t>
      </w:r>
    </w:p>
    <w:p w14:paraId="563731FD" w14:textId="76F2C703" w:rsidR="003E2762" w:rsidRPr="00C62DA9" w:rsidRDefault="00B7775F" w:rsidP="0012192B">
      <w:pPr>
        <w:tabs>
          <w:tab w:val="left" w:pos="7220"/>
        </w:tabs>
        <w:adjustRightInd w:val="0"/>
        <w:snapToGrid w:val="0"/>
        <w:spacing w:after="0" w:line="240" w:lineRule="auto"/>
        <w:ind w:firstLine="567"/>
        <w:jc w:val="both"/>
        <w:rPr>
          <w:rFonts w:ascii="Times New Roman" w:hAnsi="Times New Roman" w:cs="Times New Roman"/>
          <w:sz w:val="20"/>
          <w:szCs w:val="20"/>
        </w:rPr>
      </w:pPr>
      <w:r w:rsidRPr="00C62DA9">
        <w:rPr>
          <w:rFonts w:ascii="Times New Roman" w:hAnsi="Times New Roman" w:cs="Times New Roman"/>
          <w:sz w:val="20"/>
          <w:szCs w:val="20"/>
        </w:rPr>
        <w:t>«зеленого» (екологічно більш безпеч</w:t>
      </w:r>
      <w:r w:rsidR="003E2762" w:rsidRPr="00C62DA9">
        <w:rPr>
          <w:rFonts w:ascii="Times New Roman" w:hAnsi="Times New Roman" w:cs="Times New Roman"/>
          <w:sz w:val="20"/>
          <w:szCs w:val="20"/>
        </w:rPr>
        <w:t>ного) сектору виробництва, сільського господарства та сфери обслуговування, які відбуваються паралельно з трансформаційними процесами «озеленення» сучасних галузей економіки. Загалом трансформація природного середовища викликала не тільки вимушені зміни у структурі господарства, а й відповідні зміни у світосприйнятті людства.</w:t>
      </w:r>
    </w:p>
    <w:p w14:paraId="1E859253" w14:textId="66DED509" w:rsidR="003E2762" w:rsidRPr="00C62DA9" w:rsidRDefault="003E2762" w:rsidP="0012192B">
      <w:pPr>
        <w:tabs>
          <w:tab w:val="left" w:pos="7220"/>
        </w:tabs>
        <w:adjustRightInd w:val="0"/>
        <w:snapToGrid w:val="0"/>
        <w:spacing w:after="0" w:line="240" w:lineRule="auto"/>
        <w:ind w:firstLine="567"/>
        <w:jc w:val="both"/>
        <w:rPr>
          <w:rFonts w:ascii="Times New Roman" w:hAnsi="Times New Roman" w:cs="Times New Roman"/>
          <w:sz w:val="20"/>
          <w:szCs w:val="20"/>
        </w:rPr>
      </w:pPr>
      <w:r w:rsidRPr="00C62DA9">
        <w:rPr>
          <w:rFonts w:ascii="Times New Roman" w:hAnsi="Times New Roman" w:cs="Times New Roman"/>
          <w:sz w:val="20"/>
          <w:szCs w:val="20"/>
        </w:rPr>
        <w:t xml:space="preserve">Аналіз теоретичних досліджень щодо </w:t>
      </w:r>
      <w:r w:rsidRPr="00C62DA9">
        <w:rPr>
          <w:rFonts w:ascii="Times New Roman" w:hAnsi="Times New Roman" w:cs="Times New Roman"/>
          <w:b/>
          <w:sz w:val="20"/>
          <w:szCs w:val="20"/>
        </w:rPr>
        <w:t xml:space="preserve">трансформації ресурсної бази </w:t>
      </w:r>
      <w:r w:rsidRPr="00C62DA9">
        <w:rPr>
          <w:rFonts w:ascii="Times New Roman" w:hAnsi="Times New Roman" w:cs="Times New Roman"/>
          <w:sz w:val="20"/>
          <w:szCs w:val="20"/>
        </w:rPr>
        <w:t xml:space="preserve">економічного розвитку суспільства доводить взаємопов’язаність рівня антропогенної трансформації природних умов, які за наявної технологічної </w:t>
      </w:r>
      <w:r w:rsidRPr="00C62DA9">
        <w:rPr>
          <w:rFonts w:ascii="Times New Roman" w:hAnsi="Times New Roman" w:cs="Times New Roman"/>
          <w:sz w:val="20"/>
          <w:szCs w:val="20"/>
        </w:rPr>
        <w:lastRenderedPageBreak/>
        <w:t>бази вважаються ресурсами, із світосприйняттям людиною себе як частини природи або відокремленням природи як зовнішньої сили. Саме цей чинник формує рівень економічної безпеки глобальних і державних систем природокористування .</w:t>
      </w:r>
    </w:p>
    <w:p w14:paraId="38CBC9A5" w14:textId="69C054A4" w:rsidR="003B7034" w:rsidRPr="00C37F1C" w:rsidRDefault="003E2762" w:rsidP="0066371D">
      <w:pPr>
        <w:tabs>
          <w:tab w:val="left" w:pos="7220"/>
        </w:tabs>
        <w:adjustRightInd w:val="0"/>
        <w:snapToGrid w:val="0"/>
        <w:spacing w:after="0" w:line="240" w:lineRule="auto"/>
        <w:ind w:firstLine="567"/>
        <w:jc w:val="both"/>
        <w:rPr>
          <w:rFonts w:ascii="Times New Roman" w:hAnsi="Times New Roman" w:cs="Times New Roman"/>
          <w:sz w:val="20"/>
          <w:szCs w:val="20"/>
        </w:rPr>
      </w:pPr>
      <w:r w:rsidRPr="00C62DA9">
        <w:rPr>
          <w:rFonts w:ascii="Times New Roman" w:hAnsi="Times New Roman" w:cs="Times New Roman"/>
          <w:sz w:val="20"/>
          <w:szCs w:val="20"/>
        </w:rPr>
        <w:t>Аналіз трансформацій систем природокористування дозволяє визначити оcновні тенденції трансформації системи природокористування відповідно</w:t>
      </w:r>
      <w:r w:rsidR="004A2506" w:rsidRPr="00C37F1C">
        <w:rPr>
          <w:rFonts w:ascii="Times New Roman" w:hAnsi="Times New Roman" w:cs="Times New Roman"/>
          <w:sz w:val="20"/>
          <w:szCs w:val="20"/>
        </w:rPr>
        <w:t>.</w:t>
      </w:r>
    </w:p>
    <w:p w14:paraId="5F488536" w14:textId="0700C74E" w:rsidR="004A2506" w:rsidRPr="00C37F1C" w:rsidRDefault="00226F0E" w:rsidP="00F1240A">
      <w:pPr>
        <w:tabs>
          <w:tab w:val="left" w:pos="7220"/>
        </w:tabs>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 xml:space="preserve">На початок XXІ століття сталий розвиток став міжнародним трендом, універсальною політичною стратегією для національного та міжнародного рівнів. Хоча багато країн прийняли стратегії сталого розвитку, однак сучасні світові тенденції визначають подальшу траєкторію їх удосконалення, оскільки визначальною домінантою є ідея інтегрального підходу до розв’язання економічних, соціальних та екологічних проблем. Саме на тлі цього наукового фундаменту і виникла теорія «зеленої» економіки. Якщо розглядати хронологію її розвитку з погляду суспільної парадигми, то, перш за все, доречно констатувати, що вона є логічним продовженням теорії сталого розвитку, яку в 1992 році в Ріо-де-Жанейро представники урядів зі 179 країн світу, у тому числі України, визначили як ключову стратегію існування людства на XXI сторіччя. Можна стверджувати, що форум у Ріо в 1992 році задовольнив очікування всього світу. Ряд теоретиків і прихильників сталого розвитку вважають його найперспективнішою ідеологією століття і навіть усього третього тисячоліття, яка, з поглибленням наукової обґрунтованості, витіснить усі наявні світоглядні ідеології як такі, що є фрагментарними та неспроможними забезпечити збалансований розвиток цивілізації. </w:t>
      </w:r>
      <w:r w:rsidRPr="00F1240A">
        <w:rPr>
          <w:rFonts w:ascii="Times New Roman" w:hAnsi="Times New Roman" w:cs="Times New Roman"/>
          <w:b/>
          <w:sz w:val="20"/>
          <w:szCs w:val="20"/>
        </w:rPr>
        <w:t>Сталий розвиток належить до суспільної парадигми</w:t>
      </w:r>
      <w:r w:rsidRPr="00F1240A">
        <w:rPr>
          <w:rFonts w:ascii="Times New Roman" w:hAnsi="Times New Roman" w:cs="Times New Roman"/>
          <w:sz w:val="20"/>
          <w:szCs w:val="20"/>
        </w:rPr>
        <w:t>, у рамках якої використання ресурсних можливостей спрямоване на задоволення людських потреб, з одночасним забезпеченням сталості природних систем та навколишнього середовища не лише для сучасного, а й для майбутніх поколінь. Саме поняття «сталий розвиток» (</w:t>
      </w:r>
      <w:r w:rsidRPr="00F1240A">
        <w:rPr>
          <w:rFonts w:ascii="Times New Roman" w:hAnsi="Times New Roman" w:cs="Times New Roman"/>
          <w:i/>
          <w:sz w:val="20"/>
          <w:szCs w:val="20"/>
        </w:rPr>
        <w:t>sustainable development</w:t>
      </w:r>
      <w:r w:rsidRPr="00F1240A">
        <w:rPr>
          <w:rFonts w:ascii="Times New Roman" w:hAnsi="Times New Roman" w:cs="Times New Roman"/>
          <w:sz w:val="20"/>
          <w:szCs w:val="20"/>
        </w:rPr>
        <w:t xml:space="preserve">) уперше з’явилося в доповіді «Всесвітня стратегія охорони природи» (1980 р.), представленій Міжнародним союзом охорони природи і природних ресурсів, де він визначався як модифікація біосфери і використання людських, фінансових, відтворюваних і невідтворюваних природних ресурсів для задоволення потреб людей. Щоб розвиток був сталим, варто зважати не тільки на економічні, а й соціальні, екологічні та культурологічні чинники в довготривалій перспективі. Але найбільше привернуло увагу світової громадськості до поняття «сталий розвиток» оприлюднення доповіді </w:t>
      </w:r>
      <w:r w:rsidRPr="00F1240A">
        <w:rPr>
          <w:rFonts w:ascii="Times New Roman" w:hAnsi="Times New Roman" w:cs="Times New Roman"/>
          <w:b/>
          <w:sz w:val="20"/>
          <w:szCs w:val="20"/>
        </w:rPr>
        <w:t xml:space="preserve">«наше спільне майбутнє» </w:t>
      </w:r>
      <w:r w:rsidRPr="00F1240A">
        <w:rPr>
          <w:rFonts w:ascii="Times New Roman" w:hAnsi="Times New Roman" w:cs="Times New Roman"/>
          <w:sz w:val="20"/>
          <w:szCs w:val="20"/>
        </w:rPr>
        <w:t xml:space="preserve">(1987 р.) [397], підготовленої Всесвітньою Комісією з навколишнього середовища і розвитку (Комісія Брундтланд). Саме висновки цієї Комісії заклали теоретико-методологічну й концептуальну основу рішень, прийнятих у межах Ріо-92, про необхідність для цивілізації виходу на рівень сталого розвитку. Отже, можна констатувати, що під сталим розвитком розуміється розвиток, що дозволяє на довготривалій основі забезпечувати стабільне економічне зростання, яке не </w:t>
      </w:r>
      <w:r w:rsidRPr="00F1240A">
        <w:rPr>
          <w:rFonts w:ascii="Times New Roman" w:hAnsi="Times New Roman" w:cs="Times New Roman"/>
          <w:sz w:val="20"/>
          <w:szCs w:val="20"/>
        </w:rPr>
        <w:lastRenderedPageBreak/>
        <w:t xml:space="preserve">призводить до деградаційних змін у природі та дозволяє розраховувати на задоволення потреб як сьогоднішніх, так і майбутніх поколінь, не відкидаючи тези про реальні обмеження ресурсно-природного потенціалу біосфери. </w:t>
      </w:r>
    </w:p>
    <w:p w14:paraId="0080FDF4" w14:textId="54145F72" w:rsidR="00C91C46" w:rsidRPr="00853A21" w:rsidRDefault="00C91C46" w:rsidP="00520753">
      <w:pPr>
        <w:tabs>
          <w:tab w:val="left" w:pos="7220"/>
        </w:tabs>
        <w:adjustRightInd w:val="0"/>
        <w:snapToGrid w:val="0"/>
        <w:spacing w:after="0" w:line="240" w:lineRule="auto"/>
        <w:jc w:val="both"/>
        <w:rPr>
          <w:rFonts w:ascii="Times New Roman" w:hAnsi="Times New Roman" w:cs="Times New Roman"/>
          <w:b/>
          <w:sz w:val="16"/>
          <w:szCs w:val="16"/>
        </w:rPr>
      </w:pPr>
      <w:r w:rsidRPr="00853A21">
        <w:rPr>
          <w:rFonts w:ascii="Times New Roman" w:hAnsi="Times New Roman" w:cs="Times New Roman"/>
          <w:noProof/>
          <w:sz w:val="16"/>
          <w:szCs w:val="16"/>
        </w:rPr>
        <mc:AlternateContent>
          <mc:Choice Requires="wpg">
            <w:drawing>
              <wp:inline distT="0" distB="0" distL="0" distR="0" wp14:anchorId="2C9E83DD" wp14:editId="5621C708">
                <wp:extent cx="4370152" cy="5088835"/>
                <wp:effectExtent l="0" t="0" r="0" b="0"/>
                <wp:docPr id="206" name="Group 2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70152" cy="5088835"/>
                          <a:chOff x="0" y="47306"/>
                          <a:chExt cx="4736302" cy="5843591"/>
                        </a:xfrm>
                      </wpg:grpSpPr>
                      <wps:wsp>
                        <wps:cNvPr id="207" name="Graphic 207"/>
                        <wps:cNvSpPr/>
                        <wps:spPr>
                          <a:xfrm>
                            <a:off x="31358" y="99593"/>
                            <a:ext cx="6985" cy="5762625"/>
                          </a:xfrm>
                          <a:custGeom>
                            <a:avLst/>
                            <a:gdLst/>
                            <a:ahLst/>
                            <a:cxnLst/>
                            <a:rect l="l" t="t" r="r" b="b"/>
                            <a:pathLst>
                              <a:path w="6985" h="5762625">
                                <a:moveTo>
                                  <a:pt x="6731" y="5762421"/>
                                </a:moveTo>
                                <a:lnTo>
                                  <a:pt x="0" y="0"/>
                                </a:lnTo>
                              </a:path>
                            </a:pathLst>
                          </a:custGeom>
                          <a:ln w="10452">
                            <a:solidFill>
                              <a:srgbClr val="000000"/>
                            </a:solidFill>
                            <a:prstDash val="solid"/>
                          </a:ln>
                        </wps:spPr>
                        <wps:bodyPr wrap="square" lIns="0" tIns="0" rIns="0" bIns="0" rtlCol="0">
                          <a:prstTxWarp prst="textNoShape">
                            <a:avLst/>
                          </a:prstTxWarp>
                          <a:noAutofit/>
                        </wps:bodyPr>
                      </wps:wsp>
                      <wps:wsp>
                        <wps:cNvPr id="208" name="Graphic 208"/>
                        <wps:cNvSpPr/>
                        <wps:spPr>
                          <a:xfrm>
                            <a:off x="0" y="47306"/>
                            <a:ext cx="62865" cy="62865"/>
                          </a:xfrm>
                          <a:custGeom>
                            <a:avLst/>
                            <a:gdLst/>
                            <a:ahLst/>
                            <a:cxnLst/>
                            <a:rect l="l" t="t" r="r" b="b"/>
                            <a:pathLst>
                              <a:path w="62865" h="62865">
                                <a:moveTo>
                                  <a:pt x="31292" y="0"/>
                                </a:moveTo>
                                <a:lnTo>
                                  <a:pt x="0" y="62776"/>
                                </a:lnTo>
                                <a:lnTo>
                                  <a:pt x="62737" y="62712"/>
                                </a:lnTo>
                                <a:lnTo>
                                  <a:pt x="31292" y="0"/>
                                </a:lnTo>
                                <a:close/>
                              </a:path>
                            </a:pathLst>
                          </a:custGeom>
                          <a:solidFill>
                            <a:srgbClr val="000000"/>
                          </a:solidFill>
                        </wps:spPr>
                        <wps:bodyPr wrap="square" lIns="0" tIns="0" rIns="0" bIns="0" rtlCol="0">
                          <a:prstTxWarp prst="textNoShape">
                            <a:avLst/>
                          </a:prstTxWarp>
                          <a:noAutofit/>
                        </wps:bodyPr>
                      </wps:wsp>
                      <wps:wsp>
                        <wps:cNvPr id="209" name="Graphic 209"/>
                        <wps:cNvSpPr/>
                        <wps:spPr>
                          <a:xfrm>
                            <a:off x="38089" y="5859401"/>
                            <a:ext cx="4646295" cy="1270"/>
                          </a:xfrm>
                          <a:custGeom>
                            <a:avLst/>
                            <a:gdLst/>
                            <a:ahLst/>
                            <a:cxnLst/>
                            <a:rect l="l" t="t" r="r" b="b"/>
                            <a:pathLst>
                              <a:path w="4646295">
                                <a:moveTo>
                                  <a:pt x="0" y="0"/>
                                </a:moveTo>
                                <a:lnTo>
                                  <a:pt x="4645799" y="0"/>
                                </a:lnTo>
                              </a:path>
                            </a:pathLst>
                          </a:custGeom>
                          <a:ln w="10452">
                            <a:solidFill>
                              <a:srgbClr val="000000"/>
                            </a:solidFill>
                            <a:prstDash val="solid"/>
                          </a:ln>
                        </wps:spPr>
                        <wps:bodyPr wrap="square" lIns="0" tIns="0" rIns="0" bIns="0" rtlCol="0">
                          <a:prstTxWarp prst="textNoShape">
                            <a:avLst/>
                          </a:prstTxWarp>
                          <a:noAutofit/>
                        </wps:bodyPr>
                      </wps:wsp>
                      <wps:wsp>
                        <wps:cNvPr id="210" name="Graphic 210"/>
                        <wps:cNvSpPr/>
                        <wps:spPr>
                          <a:xfrm>
                            <a:off x="4673437" y="5828032"/>
                            <a:ext cx="62865" cy="62865"/>
                          </a:xfrm>
                          <a:custGeom>
                            <a:avLst/>
                            <a:gdLst/>
                            <a:ahLst/>
                            <a:cxnLst/>
                            <a:rect l="l" t="t" r="r" b="b"/>
                            <a:pathLst>
                              <a:path w="62865" h="62865">
                                <a:moveTo>
                                  <a:pt x="0" y="0"/>
                                </a:moveTo>
                                <a:lnTo>
                                  <a:pt x="0" y="62737"/>
                                </a:lnTo>
                                <a:lnTo>
                                  <a:pt x="62737" y="31368"/>
                                </a:lnTo>
                                <a:lnTo>
                                  <a:pt x="0" y="0"/>
                                </a:lnTo>
                                <a:close/>
                              </a:path>
                            </a:pathLst>
                          </a:custGeom>
                          <a:solidFill>
                            <a:srgbClr val="000000"/>
                          </a:solidFill>
                        </wps:spPr>
                        <wps:bodyPr wrap="square" lIns="0" tIns="0" rIns="0" bIns="0" rtlCol="0">
                          <a:prstTxWarp prst="textNoShape">
                            <a:avLst/>
                          </a:prstTxWarp>
                          <a:noAutofit/>
                        </wps:bodyPr>
                      </wps:wsp>
                      <wps:wsp>
                        <wps:cNvPr id="212" name="Textbox 212"/>
                        <wps:cNvSpPr txBox="1"/>
                        <wps:spPr>
                          <a:xfrm>
                            <a:off x="2998778" y="99592"/>
                            <a:ext cx="1515297" cy="1226000"/>
                          </a:xfrm>
                          <a:prstGeom prst="rect">
                            <a:avLst/>
                          </a:prstGeom>
                        </wps:spPr>
                        <wps:txbx>
                          <w:txbxContent>
                            <w:p w14:paraId="6F9B2E9D" w14:textId="77777777" w:rsidR="00C91C46" w:rsidRPr="00F56BD2" w:rsidRDefault="00C91C46" w:rsidP="00F56BD2">
                              <w:pPr>
                                <w:spacing w:after="0" w:line="240" w:lineRule="auto"/>
                                <w:rPr>
                                  <w:rFonts w:ascii="Times New Roman" w:hAnsi="Times New Roman"/>
                                  <w:b/>
                                  <w:sz w:val="16"/>
                                  <w:szCs w:val="16"/>
                                </w:rPr>
                              </w:pPr>
                              <w:r w:rsidRPr="00F56BD2">
                                <w:rPr>
                                  <w:rFonts w:ascii="Times New Roman" w:hAnsi="Times New Roman"/>
                                  <w:b/>
                                  <w:sz w:val="16"/>
                                  <w:szCs w:val="16"/>
                                </w:rPr>
                                <w:t xml:space="preserve">6 </w:t>
                              </w:r>
                              <w:r w:rsidRPr="00F56BD2">
                                <w:rPr>
                                  <w:rFonts w:ascii="Times New Roman" w:hAnsi="Times New Roman"/>
                                  <w:b/>
                                  <w:spacing w:val="-2"/>
                                  <w:sz w:val="16"/>
                                  <w:szCs w:val="16"/>
                                </w:rPr>
                                <w:t>хвиля</w:t>
                              </w:r>
                            </w:p>
                            <w:p w14:paraId="38185202" w14:textId="77777777" w:rsidR="00F56BD2" w:rsidRPr="00F56BD2" w:rsidRDefault="00C91C46" w:rsidP="00030A38">
                              <w:pPr>
                                <w:widowControl w:val="0"/>
                                <w:numPr>
                                  <w:ilvl w:val="0"/>
                                  <w:numId w:val="6"/>
                                </w:numPr>
                                <w:tabs>
                                  <w:tab w:val="left" w:pos="0"/>
                                  <w:tab w:val="left" w:pos="85"/>
                                </w:tabs>
                                <w:autoSpaceDE w:val="0"/>
                                <w:autoSpaceDN w:val="0"/>
                                <w:spacing w:after="0" w:line="240" w:lineRule="auto"/>
                                <w:ind w:firstLine="0"/>
                                <w:rPr>
                                  <w:rFonts w:ascii="Times New Roman" w:hAnsi="Times New Roman"/>
                                  <w:sz w:val="16"/>
                                  <w:szCs w:val="16"/>
                                </w:rPr>
                              </w:pPr>
                              <w:r w:rsidRPr="00F56BD2">
                                <w:rPr>
                                  <w:rFonts w:ascii="Times New Roman" w:hAnsi="Times New Roman"/>
                                  <w:spacing w:val="-2"/>
                                  <w:sz w:val="16"/>
                                  <w:szCs w:val="16"/>
                                </w:rPr>
                                <w:t>зелена</w:t>
                              </w:r>
                              <w:r w:rsidRPr="00F56BD2">
                                <w:rPr>
                                  <w:rFonts w:ascii="Times New Roman" w:hAnsi="Times New Roman"/>
                                  <w:spacing w:val="-8"/>
                                  <w:sz w:val="16"/>
                                  <w:szCs w:val="16"/>
                                </w:rPr>
                                <w:t xml:space="preserve"> </w:t>
                              </w:r>
                              <w:r w:rsidRPr="00F56BD2">
                                <w:rPr>
                                  <w:rFonts w:ascii="Times New Roman" w:hAnsi="Times New Roman"/>
                                  <w:spacing w:val="-2"/>
                                  <w:sz w:val="16"/>
                                  <w:szCs w:val="16"/>
                                </w:rPr>
                                <w:t>економіка</w:t>
                              </w:r>
                              <w:r w:rsidRPr="00F56BD2">
                                <w:rPr>
                                  <w:rFonts w:ascii="Times New Roman" w:hAnsi="Times New Roman"/>
                                  <w:spacing w:val="40"/>
                                  <w:sz w:val="16"/>
                                  <w:szCs w:val="16"/>
                                </w:rPr>
                                <w:t xml:space="preserve"> </w:t>
                              </w:r>
                            </w:p>
                            <w:p w14:paraId="2F5826FC" w14:textId="0E864F7E" w:rsidR="00C91C46" w:rsidRPr="00F56BD2" w:rsidRDefault="00C91C46" w:rsidP="00030A38">
                              <w:pPr>
                                <w:widowControl w:val="0"/>
                                <w:numPr>
                                  <w:ilvl w:val="0"/>
                                  <w:numId w:val="6"/>
                                </w:numPr>
                                <w:tabs>
                                  <w:tab w:val="left" w:pos="0"/>
                                  <w:tab w:val="left" w:pos="85"/>
                                </w:tabs>
                                <w:autoSpaceDE w:val="0"/>
                                <w:autoSpaceDN w:val="0"/>
                                <w:spacing w:after="0" w:line="240" w:lineRule="auto"/>
                                <w:ind w:firstLine="0"/>
                                <w:rPr>
                                  <w:rFonts w:ascii="Times New Roman" w:hAnsi="Times New Roman"/>
                                  <w:sz w:val="16"/>
                                  <w:szCs w:val="16"/>
                                </w:rPr>
                              </w:pPr>
                              <w:r w:rsidRPr="00F56BD2">
                                <w:rPr>
                                  <w:rFonts w:ascii="Times New Roman" w:hAnsi="Times New Roman"/>
                                  <w:sz w:val="16"/>
                                  <w:szCs w:val="16"/>
                                </w:rPr>
                                <w:t>сталий</w:t>
                              </w:r>
                              <w:r w:rsidRPr="00F56BD2">
                                <w:rPr>
                                  <w:rFonts w:ascii="Times New Roman" w:hAnsi="Times New Roman"/>
                                  <w:spacing w:val="-10"/>
                                  <w:sz w:val="16"/>
                                  <w:szCs w:val="16"/>
                                </w:rPr>
                                <w:t xml:space="preserve"> </w:t>
                              </w:r>
                              <w:r w:rsidRPr="00F56BD2">
                                <w:rPr>
                                  <w:rFonts w:ascii="Times New Roman" w:hAnsi="Times New Roman"/>
                                  <w:sz w:val="16"/>
                                  <w:szCs w:val="16"/>
                                </w:rPr>
                                <w:t>розвиток;</w:t>
                              </w:r>
                            </w:p>
                            <w:p w14:paraId="63DC70C7" w14:textId="34A2BAEE" w:rsidR="00C91C46" w:rsidRPr="00F56BD2" w:rsidRDefault="00C91C46" w:rsidP="00030A38">
                              <w:pPr>
                                <w:widowControl w:val="0"/>
                                <w:numPr>
                                  <w:ilvl w:val="0"/>
                                  <w:numId w:val="6"/>
                                </w:numPr>
                                <w:tabs>
                                  <w:tab w:val="left" w:pos="86"/>
                                </w:tabs>
                                <w:autoSpaceDE w:val="0"/>
                                <w:autoSpaceDN w:val="0"/>
                                <w:spacing w:after="0" w:line="240" w:lineRule="auto"/>
                                <w:ind w:firstLine="0"/>
                                <w:rPr>
                                  <w:rFonts w:ascii="Times New Roman" w:hAnsi="Times New Roman"/>
                                  <w:sz w:val="16"/>
                                  <w:szCs w:val="16"/>
                                </w:rPr>
                              </w:pPr>
                              <w:r w:rsidRPr="00F56BD2">
                                <w:rPr>
                                  <w:rFonts w:ascii="Times New Roman" w:hAnsi="Times New Roman"/>
                                  <w:spacing w:val="-2"/>
                                  <w:sz w:val="16"/>
                                  <w:szCs w:val="16"/>
                                </w:rPr>
                                <w:t>ресурсна</w:t>
                              </w:r>
                              <w:r w:rsidR="00F56BD2" w:rsidRPr="00F56BD2">
                                <w:rPr>
                                  <w:rFonts w:ascii="Times New Roman" w:hAnsi="Times New Roman"/>
                                  <w:sz w:val="16"/>
                                  <w:szCs w:val="16"/>
                                </w:rPr>
                                <w:t xml:space="preserve"> </w:t>
                              </w:r>
                              <w:r w:rsidRPr="00F56BD2">
                                <w:rPr>
                                  <w:rFonts w:ascii="Times New Roman" w:hAnsi="Times New Roman"/>
                                  <w:spacing w:val="-2"/>
                                  <w:sz w:val="16"/>
                                  <w:szCs w:val="16"/>
                                </w:rPr>
                                <w:t>продуктивність;</w:t>
                              </w:r>
                            </w:p>
                            <w:p w14:paraId="1ADF7D54" w14:textId="77777777" w:rsidR="00C91C46" w:rsidRPr="00F56BD2" w:rsidRDefault="00C91C46" w:rsidP="00030A38">
                              <w:pPr>
                                <w:widowControl w:val="0"/>
                                <w:numPr>
                                  <w:ilvl w:val="0"/>
                                  <w:numId w:val="6"/>
                                </w:numPr>
                                <w:tabs>
                                  <w:tab w:val="left" w:pos="86"/>
                                </w:tabs>
                                <w:autoSpaceDE w:val="0"/>
                                <w:autoSpaceDN w:val="0"/>
                                <w:spacing w:after="0" w:line="240" w:lineRule="auto"/>
                                <w:ind w:firstLine="0"/>
                                <w:rPr>
                                  <w:rFonts w:ascii="Times New Roman" w:hAnsi="Times New Roman"/>
                                  <w:sz w:val="16"/>
                                  <w:szCs w:val="16"/>
                                </w:rPr>
                              </w:pPr>
                              <w:r w:rsidRPr="00F56BD2">
                                <w:rPr>
                                  <w:rFonts w:ascii="Times New Roman" w:hAnsi="Times New Roman"/>
                                  <w:spacing w:val="-2"/>
                                  <w:sz w:val="16"/>
                                  <w:szCs w:val="16"/>
                                </w:rPr>
                                <w:t>зелена хімія;</w:t>
                              </w:r>
                            </w:p>
                            <w:p w14:paraId="0AD7BCBC" w14:textId="77777777" w:rsidR="00C91C46" w:rsidRPr="00F56BD2" w:rsidRDefault="00C91C46" w:rsidP="00030A38">
                              <w:pPr>
                                <w:widowControl w:val="0"/>
                                <w:numPr>
                                  <w:ilvl w:val="0"/>
                                  <w:numId w:val="6"/>
                                </w:numPr>
                                <w:tabs>
                                  <w:tab w:val="left" w:pos="86"/>
                                </w:tabs>
                                <w:autoSpaceDE w:val="0"/>
                                <w:autoSpaceDN w:val="0"/>
                                <w:spacing w:after="0" w:line="240" w:lineRule="auto"/>
                                <w:ind w:firstLine="0"/>
                                <w:rPr>
                                  <w:rFonts w:ascii="Times New Roman" w:hAnsi="Times New Roman"/>
                                  <w:sz w:val="16"/>
                                  <w:szCs w:val="16"/>
                                </w:rPr>
                              </w:pPr>
                              <w:r w:rsidRPr="00F56BD2">
                                <w:rPr>
                                  <w:rFonts w:ascii="Times New Roman" w:hAnsi="Times New Roman"/>
                                  <w:spacing w:val="-2"/>
                                  <w:sz w:val="16"/>
                                  <w:szCs w:val="16"/>
                                </w:rPr>
                                <w:t>індустріальна</w:t>
                              </w:r>
                              <w:r w:rsidRPr="00F56BD2">
                                <w:rPr>
                                  <w:rFonts w:ascii="Times New Roman" w:hAnsi="Times New Roman"/>
                                  <w:spacing w:val="-3"/>
                                  <w:sz w:val="16"/>
                                  <w:szCs w:val="16"/>
                                </w:rPr>
                                <w:t xml:space="preserve"> </w:t>
                              </w:r>
                              <w:r w:rsidRPr="00F56BD2">
                                <w:rPr>
                                  <w:rFonts w:ascii="Times New Roman" w:hAnsi="Times New Roman"/>
                                  <w:spacing w:val="-2"/>
                                  <w:sz w:val="16"/>
                                  <w:szCs w:val="16"/>
                                </w:rPr>
                                <w:t>екологія;</w:t>
                              </w:r>
                            </w:p>
                            <w:p w14:paraId="11703B23" w14:textId="77777777" w:rsidR="00C91C46" w:rsidRPr="00F56BD2" w:rsidRDefault="00C91C46" w:rsidP="00030A38">
                              <w:pPr>
                                <w:widowControl w:val="0"/>
                                <w:numPr>
                                  <w:ilvl w:val="0"/>
                                  <w:numId w:val="6"/>
                                </w:numPr>
                                <w:tabs>
                                  <w:tab w:val="left" w:pos="86"/>
                                </w:tabs>
                                <w:autoSpaceDE w:val="0"/>
                                <w:autoSpaceDN w:val="0"/>
                                <w:spacing w:after="0" w:line="240" w:lineRule="auto"/>
                                <w:ind w:firstLine="0"/>
                                <w:rPr>
                                  <w:rFonts w:ascii="Times New Roman" w:hAnsi="Times New Roman"/>
                                  <w:sz w:val="16"/>
                                  <w:szCs w:val="16"/>
                                </w:rPr>
                              </w:pPr>
                              <w:r w:rsidRPr="00F56BD2">
                                <w:rPr>
                                  <w:rFonts w:ascii="Times New Roman" w:hAnsi="Times New Roman"/>
                                  <w:spacing w:val="-2"/>
                                  <w:sz w:val="16"/>
                                  <w:szCs w:val="16"/>
                                </w:rPr>
                                <w:t>відновлювальна</w:t>
                              </w:r>
                              <w:r w:rsidRPr="00F56BD2">
                                <w:rPr>
                                  <w:rFonts w:ascii="Times New Roman" w:hAnsi="Times New Roman"/>
                                  <w:spacing w:val="40"/>
                                  <w:sz w:val="16"/>
                                  <w:szCs w:val="16"/>
                                </w:rPr>
                                <w:t xml:space="preserve"> </w:t>
                              </w:r>
                              <w:r w:rsidRPr="00F56BD2">
                                <w:rPr>
                                  <w:rFonts w:ascii="Times New Roman" w:hAnsi="Times New Roman"/>
                                  <w:spacing w:val="-2"/>
                                  <w:sz w:val="16"/>
                                  <w:szCs w:val="16"/>
                                </w:rPr>
                                <w:t>енергетика;</w:t>
                              </w:r>
                            </w:p>
                            <w:p w14:paraId="19996218" w14:textId="77777777" w:rsidR="00C91C46" w:rsidRPr="00F56BD2" w:rsidRDefault="00C91C46" w:rsidP="00030A38">
                              <w:pPr>
                                <w:widowControl w:val="0"/>
                                <w:numPr>
                                  <w:ilvl w:val="0"/>
                                  <w:numId w:val="6"/>
                                </w:numPr>
                                <w:tabs>
                                  <w:tab w:val="left" w:pos="86"/>
                                </w:tabs>
                                <w:autoSpaceDE w:val="0"/>
                                <w:autoSpaceDN w:val="0"/>
                                <w:spacing w:before="2" w:after="0" w:line="172" w:lineRule="exact"/>
                                <w:ind w:left="86" w:hanging="86"/>
                                <w:rPr>
                                  <w:rFonts w:ascii="Times New Roman" w:hAnsi="Times New Roman"/>
                                  <w:sz w:val="16"/>
                                  <w:szCs w:val="16"/>
                                </w:rPr>
                              </w:pPr>
                              <w:r w:rsidRPr="00F56BD2">
                                <w:rPr>
                                  <w:rFonts w:ascii="Times New Roman" w:hAnsi="Times New Roman"/>
                                  <w:spacing w:val="-2"/>
                                  <w:sz w:val="16"/>
                                  <w:szCs w:val="16"/>
                                </w:rPr>
                                <w:t>нанотехнології</w:t>
                              </w:r>
                            </w:p>
                          </w:txbxContent>
                        </wps:txbx>
                        <wps:bodyPr wrap="square" lIns="0" tIns="0" rIns="0" bIns="0" rtlCol="0">
                          <a:noAutofit/>
                        </wps:bodyPr>
                      </wps:wsp>
                      <wps:wsp>
                        <wps:cNvPr id="213" name="Textbox 213"/>
                        <wps:cNvSpPr txBox="1"/>
                        <wps:spPr>
                          <a:xfrm>
                            <a:off x="2458026" y="1325466"/>
                            <a:ext cx="954463" cy="894925"/>
                          </a:xfrm>
                          <a:prstGeom prst="rect">
                            <a:avLst/>
                          </a:prstGeom>
                        </wps:spPr>
                        <wps:txbx>
                          <w:txbxContent>
                            <w:p w14:paraId="4FDF0009" w14:textId="77777777" w:rsidR="00C91C46" w:rsidRDefault="00C91C46" w:rsidP="00810243">
                              <w:pPr>
                                <w:spacing w:after="0" w:line="240" w:lineRule="auto"/>
                                <w:rPr>
                                  <w:rFonts w:ascii="Times New Roman" w:hAnsi="Times New Roman"/>
                                  <w:b/>
                                  <w:sz w:val="18"/>
                                </w:rPr>
                              </w:pPr>
                              <w:r>
                                <w:rPr>
                                  <w:rFonts w:ascii="Times New Roman" w:hAnsi="Times New Roman"/>
                                  <w:b/>
                                  <w:sz w:val="18"/>
                                </w:rPr>
                                <w:t xml:space="preserve">5 </w:t>
                              </w:r>
                              <w:r>
                                <w:rPr>
                                  <w:rFonts w:ascii="Times New Roman" w:hAnsi="Times New Roman"/>
                                  <w:b/>
                                  <w:spacing w:val="-2"/>
                                  <w:sz w:val="18"/>
                                </w:rPr>
                                <w:t>хвиля</w:t>
                              </w:r>
                            </w:p>
                            <w:p w14:paraId="39112BFE" w14:textId="77777777" w:rsidR="00C91C46" w:rsidRDefault="00C91C46" w:rsidP="00810243">
                              <w:pPr>
                                <w:spacing w:after="0" w:line="240" w:lineRule="auto"/>
                                <w:rPr>
                                  <w:rFonts w:ascii="Times New Roman" w:hAnsi="Times New Roman"/>
                                  <w:sz w:val="15"/>
                                </w:rPr>
                              </w:pPr>
                              <w:r>
                                <w:rPr>
                                  <w:rFonts w:ascii="Times New Roman" w:hAnsi="Times New Roman"/>
                                  <w:spacing w:val="-2"/>
                                  <w:sz w:val="15"/>
                                </w:rPr>
                                <w:t>-цифрові</w:t>
                              </w:r>
                              <w:r>
                                <w:rPr>
                                  <w:rFonts w:ascii="Times New Roman" w:hAnsi="Times New Roman"/>
                                  <w:spacing w:val="3"/>
                                  <w:sz w:val="15"/>
                                </w:rPr>
                                <w:t xml:space="preserve"> </w:t>
                              </w:r>
                              <w:r>
                                <w:rPr>
                                  <w:rFonts w:ascii="Times New Roman" w:hAnsi="Times New Roman"/>
                                  <w:spacing w:val="-2"/>
                                  <w:sz w:val="15"/>
                                </w:rPr>
                                <w:t>мережі;</w:t>
                              </w:r>
                            </w:p>
                            <w:p w14:paraId="62D17721" w14:textId="77777777" w:rsidR="00C91C46" w:rsidRDefault="00C91C46" w:rsidP="00810243">
                              <w:pPr>
                                <w:spacing w:after="0" w:line="240" w:lineRule="auto"/>
                                <w:rPr>
                                  <w:rFonts w:ascii="Times New Roman" w:hAnsi="Times New Roman"/>
                                  <w:sz w:val="15"/>
                                </w:rPr>
                              </w:pPr>
                              <w:r>
                                <w:rPr>
                                  <w:rFonts w:ascii="Times New Roman" w:hAnsi="Times New Roman"/>
                                  <w:spacing w:val="-2"/>
                                  <w:sz w:val="15"/>
                                </w:rPr>
                                <w:t>-біотехнології;</w:t>
                              </w:r>
                            </w:p>
                            <w:p w14:paraId="18D40E3F" w14:textId="77777777" w:rsidR="00C91C46" w:rsidRDefault="00C91C46" w:rsidP="00030A38">
                              <w:pPr>
                                <w:widowControl w:val="0"/>
                                <w:numPr>
                                  <w:ilvl w:val="0"/>
                                  <w:numId w:val="5"/>
                                </w:numPr>
                                <w:tabs>
                                  <w:tab w:val="left" w:pos="86"/>
                                </w:tabs>
                                <w:autoSpaceDE w:val="0"/>
                                <w:autoSpaceDN w:val="0"/>
                                <w:spacing w:after="0" w:line="171" w:lineRule="exact"/>
                                <w:ind w:left="86" w:hanging="86"/>
                                <w:rPr>
                                  <w:rFonts w:ascii="Times New Roman" w:hAnsi="Times New Roman"/>
                                  <w:sz w:val="15"/>
                                </w:rPr>
                              </w:pPr>
                              <w:r>
                                <w:rPr>
                                  <w:rFonts w:ascii="Times New Roman" w:hAnsi="Times New Roman"/>
                                  <w:spacing w:val="-2"/>
                                  <w:sz w:val="15"/>
                                </w:rPr>
                                <w:t>програмування;</w:t>
                              </w:r>
                            </w:p>
                            <w:p w14:paraId="1A3357E3" w14:textId="77777777" w:rsidR="00C91C46" w:rsidRDefault="00C91C46" w:rsidP="00030A38">
                              <w:pPr>
                                <w:widowControl w:val="0"/>
                                <w:numPr>
                                  <w:ilvl w:val="0"/>
                                  <w:numId w:val="5"/>
                                </w:numPr>
                                <w:tabs>
                                  <w:tab w:val="left" w:pos="86"/>
                                </w:tabs>
                                <w:autoSpaceDE w:val="0"/>
                                <w:autoSpaceDN w:val="0"/>
                                <w:spacing w:after="0" w:line="240" w:lineRule="auto"/>
                                <w:ind w:right="174" w:firstLine="0"/>
                                <w:rPr>
                                  <w:rFonts w:ascii="Times New Roman" w:hAnsi="Times New Roman"/>
                                  <w:sz w:val="15"/>
                                </w:rPr>
                              </w:pPr>
                              <w:r>
                                <w:rPr>
                                  <w:rFonts w:ascii="Times New Roman" w:hAnsi="Times New Roman"/>
                                  <w:spacing w:val="-2"/>
                                  <w:sz w:val="15"/>
                                </w:rPr>
                                <w:t>інформаційні</w:t>
                              </w:r>
                              <w:r>
                                <w:rPr>
                                  <w:rFonts w:ascii="Times New Roman" w:hAnsi="Times New Roman"/>
                                  <w:spacing w:val="40"/>
                                  <w:sz w:val="15"/>
                                </w:rPr>
                                <w:t xml:space="preserve"> </w:t>
                              </w:r>
                              <w:r>
                                <w:rPr>
                                  <w:rFonts w:ascii="Times New Roman" w:hAnsi="Times New Roman"/>
                                  <w:spacing w:val="-2"/>
                                  <w:sz w:val="15"/>
                                </w:rPr>
                                <w:t>технологій</w:t>
                              </w:r>
                            </w:p>
                          </w:txbxContent>
                        </wps:txbx>
                        <wps:bodyPr wrap="square" lIns="0" tIns="0" rIns="0" bIns="0" rtlCol="0">
                          <a:noAutofit/>
                        </wps:bodyPr>
                      </wps:wsp>
                      <wps:wsp>
                        <wps:cNvPr id="214" name="Textbox 214"/>
                        <wps:cNvSpPr txBox="1"/>
                        <wps:spPr>
                          <a:xfrm>
                            <a:off x="1869962" y="2220151"/>
                            <a:ext cx="670275" cy="754014"/>
                          </a:xfrm>
                          <a:prstGeom prst="rect">
                            <a:avLst/>
                          </a:prstGeom>
                        </wps:spPr>
                        <wps:txbx>
                          <w:txbxContent>
                            <w:p w14:paraId="4EE601D0" w14:textId="77777777" w:rsidR="00C91C46" w:rsidRPr="00810243" w:rsidRDefault="00C91C46" w:rsidP="00810243">
                              <w:pPr>
                                <w:spacing w:after="0" w:line="240" w:lineRule="auto"/>
                                <w:rPr>
                                  <w:rFonts w:ascii="Times New Roman" w:hAnsi="Times New Roman"/>
                                  <w:b/>
                                  <w:sz w:val="16"/>
                                  <w:szCs w:val="16"/>
                                </w:rPr>
                              </w:pPr>
                              <w:r>
                                <w:rPr>
                                  <w:rFonts w:ascii="Times New Roman" w:hAnsi="Times New Roman"/>
                                  <w:b/>
                                  <w:sz w:val="18"/>
                                </w:rPr>
                                <w:t xml:space="preserve">4 </w:t>
                              </w:r>
                              <w:r w:rsidRPr="00810243">
                                <w:rPr>
                                  <w:rFonts w:ascii="Times New Roman" w:hAnsi="Times New Roman"/>
                                  <w:b/>
                                  <w:spacing w:val="-2"/>
                                  <w:sz w:val="16"/>
                                  <w:szCs w:val="16"/>
                                </w:rPr>
                                <w:t>хвиля</w:t>
                              </w:r>
                            </w:p>
                            <w:p w14:paraId="68E0774E" w14:textId="77777777" w:rsidR="00C91C46" w:rsidRPr="00810243" w:rsidRDefault="00C91C46" w:rsidP="00810243">
                              <w:pPr>
                                <w:spacing w:after="0" w:line="240" w:lineRule="auto"/>
                                <w:rPr>
                                  <w:rFonts w:ascii="Times New Roman" w:hAnsi="Times New Roman"/>
                                  <w:sz w:val="16"/>
                                  <w:szCs w:val="16"/>
                                </w:rPr>
                              </w:pPr>
                              <w:r w:rsidRPr="00810243">
                                <w:rPr>
                                  <w:rFonts w:ascii="Times New Roman" w:hAnsi="Times New Roman"/>
                                  <w:spacing w:val="-2"/>
                                  <w:sz w:val="16"/>
                                  <w:szCs w:val="16"/>
                                </w:rPr>
                                <w:t>-нефтехімія;</w:t>
                              </w:r>
                            </w:p>
                            <w:p w14:paraId="064DD703" w14:textId="77777777" w:rsidR="00C91C46" w:rsidRDefault="00C91C46" w:rsidP="00810243">
                              <w:pPr>
                                <w:spacing w:after="0" w:line="240" w:lineRule="auto"/>
                                <w:rPr>
                                  <w:rFonts w:ascii="Times New Roman" w:hAnsi="Times New Roman"/>
                                  <w:sz w:val="15"/>
                                </w:rPr>
                              </w:pPr>
                              <w:r w:rsidRPr="00810243">
                                <w:rPr>
                                  <w:rFonts w:ascii="Times New Roman" w:hAnsi="Times New Roman"/>
                                  <w:spacing w:val="-2"/>
                                  <w:sz w:val="16"/>
                                  <w:szCs w:val="16"/>
                                </w:rPr>
                                <w:t>-електроніка</w:t>
                              </w:r>
                              <w:r>
                                <w:rPr>
                                  <w:rFonts w:ascii="Times New Roman" w:hAnsi="Times New Roman"/>
                                  <w:spacing w:val="-2"/>
                                  <w:sz w:val="15"/>
                                </w:rPr>
                                <w:t>;</w:t>
                              </w:r>
                            </w:p>
                            <w:p w14:paraId="733E423D" w14:textId="77777777" w:rsidR="00C91C46" w:rsidRDefault="00C91C46" w:rsidP="00030A38">
                              <w:pPr>
                                <w:widowControl w:val="0"/>
                                <w:numPr>
                                  <w:ilvl w:val="0"/>
                                  <w:numId w:val="4"/>
                                </w:numPr>
                                <w:tabs>
                                  <w:tab w:val="left" w:pos="86"/>
                                </w:tabs>
                                <w:autoSpaceDE w:val="0"/>
                                <w:autoSpaceDN w:val="0"/>
                                <w:spacing w:after="0" w:line="240" w:lineRule="auto"/>
                                <w:ind w:left="0" w:hanging="86"/>
                                <w:rPr>
                                  <w:rFonts w:ascii="Times New Roman" w:hAnsi="Times New Roman"/>
                                  <w:sz w:val="15"/>
                                </w:rPr>
                              </w:pPr>
                              <w:r>
                                <w:rPr>
                                  <w:rFonts w:ascii="Times New Roman" w:hAnsi="Times New Roman"/>
                                  <w:spacing w:val="-2"/>
                                  <w:sz w:val="15"/>
                                </w:rPr>
                                <w:t>авіація;</w:t>
                              </w:r>
                            </w:p>
                            <w:p w14:paraId="3680082F" w14:textId="77777777" w:rsidR="00C91C46" w:rsidRDefault="00C91C46" w:rsidP="00030A38">
                              <w:pPr>
                                <w:widowControl w:val="0"/>
                                <w:numPr>
                                  <w:ilvl w:val="0"/>
                                  <w:numId w:val="4"/>
                                </w:numPr>
                                <w:tabs>
                                  <w:tab w:val="left" w:pos="86"/>
                                </w:tabs>
                                <w:autoSpaceDE w:val="0"/>
                                <w:autoSpaceDN w:val="0"/>
                                <w:spacing w:after="0" w:line="240" w:lineRule="auto"/>
                                <w:ind w:left="0" w:hanging="86"/>
                                <w:rPr>
                                  <w:rFonts w:ascii="Times New Roman" w:hAnsi="Times New Roman"/>
                                  <w:sz w:val="15"/>
                                </w:rPr>
                              </w:pPr>
                              <w:r>
                                <w:rPr>
                                  <w:rFonts w:ascii="Times New Roman" w:hAnsi="Times New Roman"/>
                                  <w:spacing w:val="-2"/>
                                  <w:sz w:val="15"/>
                                </w:rPr>
                                <w:t>космос</w:t>
                              </w:r>
                            </w:p>
                          </w:txbxContent>
                        </wps:txbx>
                        <wps:bodyPr wrap="square" lIns="0" tIns="0" rIns="0" bIns="0" rtlCol="0">
                          <a:noAutofit/>
                        </wps:bodyPr>
                      </wps:wsp>
                      <wps:wsp>
                        <wps:cNvPr id="215" name="Textbox 215"/>
                        <wps:cNvSpPr txBox="1"/>
                        <wps:spPr>
                          <a:xfrm>
                            <a:off x="1265175" y="2918381"/>
                            <a:ext cx="1052901" cy="689864"/>
                          </a:xfrm>
                          <a:prstGeom prst="rect">
                            <a:avLst/>
                          </a:prstGeom>
                        </wps:spPr>
                        <wps:txbx>
                          <w:txbxContent>
                            <w:p w14:paraId="2DD27D21" w14:textId="77777777" w:rsidR="00C91C46" w:rsidRDefault="00C91C46" w:rsidP="00F56BD2">
                              <w:pPr>
                                <w:spacing w:after="0" w:line="199" w:lineRule="exact"/>
                                <w:rPr>
                                  <w:rFonts w:ascii="Times New Roman" w:hAnsi="Times New Roman"/>
                                  <w:b/>
                                  <w:sz w:val="18"/>
                                </w:rPr>
                              </w:pPr>
                              <w:r>
                                <w:rPr>
                                  <w:rFonts w:ascii="Times New Roman" w:hAnsi="Times New Roman"/>
                                  <w:b/>
                                  <w:sz w:val="18"/>
                                </w:rPr>
                                <w:t xml:space="preserve">3 </w:t>
                              </w:r>
                              <w:r>
                                <w:rPr>
                                  <w:rFonts w:ascii="Times New Roman" w:hAnsi="Times New Roman"/>
                                  <w:b/>
                                  <w:spacing w:val="-2"/>
                                  <w:sz w:val="18"/>
                                </w:rPr>
                                <w:t>хвиля</w:t>
                              </w:r>
                            </w:p>
                            <w:p w14:paraId="052C45C3" w14:textId="77777777" w:rsidR="00F56BD2" w:rsidRPr="00F56BD2" w:rsidRDefault="00C91C46" w:rsidP="00030A38">
                              <w:pPr>
                                <w:widowControl w:val="0"/>
                                <w:numPr>
                                  <w:ilvl w:val="0"/>
                                  <w:numId w:val="3"/>
                                </w:numPr>
                                <w:tabs>
                                  <w:tab w:val="left" w:pos="0"/>
                                  <w:tab w:val="left" w:pos="85"/>
                                </w:tabs>
                                <w:autoSpaceDE w:val="0"/>
                                <w:autoSpaceDN w:val="0"/>
                                <w:spacing w:after="0" w:line="237" w:lineRule="auto"/>
                                <w:ind w:hanging="1"/>
                                <w:rPr>
                                  <w:rFonts w:ascii="Times New Roman" w:hAnsi="Times New Roman"/>
                                  <w:sz w:val="15"/>
                                </w:rPr>
                              </w:pPr>
                              <w:r>
                                <w:rPr>
                                  <w:rFonts w:ascii="Times New Roman" w:hAnsi="Times New Roman"/>
                                  <w:spacing w:val="-2"/>
                                  <w:sz w:val="15"/>
                                </w:rPr>
                                <w:t>електро</w:t>
                              </w:r>
                            </w:p>
                            <w:p w14:paraId="3697CE9B" w14:textId="59AECC5D" w:rsidR="00C91C46" w:rsidRPr="00F56BD2" w:rsidRDefault="00C91C46" w:rsidP="00030A38">
                              <w:pPr>
                                <w:widowControl w:val="0"/>
                                <w:numPr>
                                  <w:ilvl w:val="0"/>
                                  <w:numId w:val="3"/>
                                </w:numPr>
                                <w:tabs>
                                  <w:tab w:val="left" w:pos="0"/>
                                  <w:tab w:val="left" w:pos="86"/>
                                </w:tabs>
                                <w:autoSpaceDE w:val="0"/>
                                <w:autoSpaceDN w:val="0"/>
                                <w:spacing w:after="0" w:line="237" w:lineRule="auto"/>
                                <w:ind w:hanging="1"/>
                                <w:rPr>
                                  <w:rFonts w:ascii="Times New Roman" w:hAnsi="Times New Roman"/>
                                  <w:sz w:val="15"/>
                                </w:rPr>
                              </w:pPr>
                              <w:r>
                                <w:rPr>
                                  <w:rFonts w:ascii="Times New Roman" w:hAnsi="Times New Roman"/>
                                  <w:spacing w:val="-2"/>
                                  <w:sz w:val="15"/>
                                </w:rPr>
                                <w:t>-</w:t>
                              </w:r>
                              <w:r>
                                <w:rPr>
                                  <w:rFonts w:ascii="Times New Roman" w:hAnsi="Times New Roman"/>
                                  <w:spacing w:val="40"/>
                                  <w:sz w:val="15"/>
                                </w:rPr>
                                <w:t xml:space="preserve"> </w:t>
                              </w:r>
                              <w:r>
                                <w:rPr>
                                  <w:rFonts w:ascii="Times New Roman" w:hAnsi="Times New Roman"/>
                                  <w:spacing w:val="-2"/>
                                  <w:sz w:val="15"/>
                                </w:rPr>
                                <w:t>енергія;</w:t>
                              </w:r>
                              <w:r w:rsidR="00F56BD2">
                                <w:rPr>
                                  <w:rFonts w:ascii="Times New Roman" w:hAnsi="Times New Roman"/>
                                  <w:sz w:val="15"/>
                                </w:rPr>
                                <w:t xml:space="preserve"> </w:t>
                              </w:r>
                              <w:r w:rsidRPr="00F56BD2">
                                <w:rPr>
                                  <w:rFonts w:ascii="Times New Roman" w:hAnsi="Times New Roman"/>
                                  <w:spacing w:val="-2"/>
                                  <w:sz w:val="15"/>
                                </w:rPr>
                                <w:t>хімія;</w:t>
                              </w:r>
                            </w:p>
                            <w:p w14:paraId="78DDD829" w14:textId="77777777" w:rsidR="00C91C46" w:rsidRDefault="00C91C46" w:rsidP="00030A38">
                              <w:pPr>
                                <w:widowControl w:val="0"/>
                                <w:numPr>
                                  <w:ilvl w:val="0"/>
                                  <w:numId w:val="3"/>
                                </w:numPr>
                                <w:tabs>
                                  <w:tab w:val="left" w:pos="86"/>
                                </w:tabs>
                                <w:autoSpaceDE w:val="0"/>
                                <w:autoSpaceDN w:val="0"/>
                                <w:spacing w:after="0" w:line="240" w:lineRule="auto"/>
                                <w:ind w:firstLine="0"/>
                                <w:rPr>
                                  <w:rFonts w:ascii="Times New Roman" w:hAnsi="Times New Roman"/>
                                  <w:sz w:val="15"/>
                                </w:rPr>
                              </w:pPr>
                              <w:r>
                                <w:rPr>
                                  <w:rFonts w:ascii="Times New Roman" w:hAnsi="Times New Roman"/>
                                  <w:spacing w:val="-2"/>
                                  <w:sz w:val="15"/>
                                </w:rPr>
                                <w:t>двигун</w:t>
                              </w:r>
                              <w:r>
                                <w:rPr>
                                  <w:rFonts w:ascii="Times New Roman" w:hAnsi="Times New Roman"/>
                                  <w:spacing w:val="40"/>
                                  <w:sz w:val="15"/>
                                </w:rPr>
                                <w:t xml:space="preserve"> </w:t>
                              </w:r>
                              <w:r>
                                <w:rPr>
                                  <w:rFonts w:ascii="Times New Roman" w:hAnsi="Times New Roman"/>
                                  <w:spacing w:val="-2"/>
                                  <w:sz w:val="15"/>
                                </w:rPr>
                                <w:t>внутрішнього</w:t>
                              </w:r>
                              <w:r>
                                <w:rPr>
                                  <w:rFonts w:ascii="Times New Roman" w:hAnsi="Times New Roman"/>
                                  <w:spacing w:val="40"/>
                                  <w:sz w:val="15"/>
                                </w:rPr>
                                <w:t xml:space="preserve"> </w:t>
                              </w:r>
                              <w:r>
                                <w:rPr>
                                  <w:rFonts w:ascii="Times New Roman" w:hAnsi="Times New Roman"/>
                                  <w:spacing w:val="-2"/>
                                  <w:sz w:val="15"/>
                                </w:rPr>
                                <w:t>згорання</w:t>
                              </w:r>
                            </w:p>
                          </w:txbxContent>
                        </wps:txbx>
                        <wps:bodyPr wrap="square" lIns="0" tIns="0" rIns="0" bIns="0" rtlCol="0">
                          <a:noAutofit/>
                        </wps:bodyPr>
                      </wps:wsp>
                      <wps:wsp>
                        <wps:cNvPr id="216" name="Textbox 216"/>
                        <wps:cNvSpPr txBox="1"/>
                        <wps:spPr>
                          <a:xfrm>
                            <a:off x="285027" y="3774883"/>
                            <a:ext cx="1190625" cy="1860357"/>
                          </a:xfrm>
                          <a:prstGeom prst="rect">
                            <a:avLst/>
                          </a:prstGeom>
                        </wps:spPr>
                        <wps:txbx>
                          <w:txbxContent>
                            <w:p w14:paraId="20462D1A" w14:textId="77777777" w:rsidR="00C91C46" w:rsidRDefault="00C91C46" w:rsidP="00F56BD2">
                              <w:pPr>
                                <w:spacing w:after="0" w:line="198" w:lineRule="exact"/>
                                <w:rPr>
                                  <w:rFonts w:ascii="Times New Roman" w:hAnsi="Times New Roman"/>
                                  <w:b/>
                                  <w:sz w:val="18"/>
                                </w:rPr>
                              </w:pPr>
                              <w:r>
                                <w:rPr>
                                  <w:rFonts w:ascii="Times New Roman" w:hAnsi="Times New Roman"/>
                                  <w:b/>
                                  <w:sz w:val="18"/>
                                </w:rPr>
                                <w:t xml:space="preserve">2 </w:t>
                              </w:r>
                              <w:r>
                                <w:rPr>
                                  <w:rFonts w:ascii="Times New Roman" w:hAnsi="Times New Roman"/>
                                  <w:b/>
                                  <w:spacing w:val="-2"/>
                                  <w:sz w:val="18"/>
                                </w:rPr>
                                <w:t>хвиля</w:t>
                              </w:r>
                            </w:p>
                            <w:p w14:paraId="3F3D0D7F" w14:textId="1C4D6C39" w:rsidR="00C91C46" w:rsidRDefault="00C91C46" w:rsidP="00F56BD2">
                              <w:pPr>
                                <w:spacing w:after="0" w:line="237" w:lineRule="auto"/>
                                <w:rPr>
                                  <w:rFonts w:ascii="Times New Roman" w:hAnsi="Times New Roman"/>
                                  <w:sz w:val="15"/>
                                </w:rPr>
                              </w:pPr>
                              <w:r>
                                <w:rPr>
                                  <w:rFonts w:ascii="Times New Roman" w:hAnsi="Times New Roman"/>
                                  <w:spacing w:val="-2"/>
                                  <w:sz w:val="15"/>
                                </w:rPr>
                                <w:t>паровий</w:t>
                              </w:r>
                              <w:r>
                                <w:rPr>
                                  <w:rFonts w:ascii="Times New Roman" w:hAnsi="Times New Roman"/>
                                  <w:spacing w:val="40"/>
                                  <w:sz w:val="15"/>
                                </w:rPr>
                                <w:t xml:space="preserve"> </w:t>
                              </w:r>
                              <w:r>
                                <w:rPr>
                                  <w:rFonts w:ascii="Times New Roman" w:hAnsi="Times New Roman"/>
                                  <w:spacing w:val="-2"/>
                                  <w:sz w:val="15"/>
                                </w:rPr>
                                <w:t>двигун;</w:t>
                              </w:r>
                            </w:p>
                            <w:p w14:paraId="243B8CD1" w14:textId="77777777" w:rsidR="00C91C46" w:rsidRDefault="00C91C46" w:rsidP="00F56BD2">
                              <w:pPr>
                                <w:widowControl w:val="0"/>
                                <w:tabs>
                                  <w:tab w:val="left" w:pos="1208"/>
                                </w:tabs>
                                <w:autoSpaceDE w:val="0"/>
                                <w:autoSpaceDN w:val="0"/>
                                <w:spacing w:after="0" w:line="170" w:lineRule="exact"/>
                                <w:rPr>
                                  <w:rFonts w:ascii="Times New Roman" w:hAnsi="Times New Roman"/>
                                  <w:sz w:val="15"/>
                                </w:rPr>
                              </w:pPr>
                              <w:r>
                                <w:rPr>
                                  <w:rFonts w:ascii="Times New Roman" w:hAnsi="Times New Roman"/>
                                  <w:spacing w:val="-2"/>
                                  <w:sz w:val="15"/>
                                </w:rPr>
                                <w:t>залізниця;</w:t>
                              </w:r>
                            </w:p>
                            <w:p w14:paraId="1B95F2F0" w14:textId="77777777" w:rsidR="00C91C46" w:rsidRDefault="00C91C46" w:rsidP="00F56BD2">
                              <w:pPr>
                                <w:widowControl w:val="0"/>
                                <w:tabs>
                                  <w:tab w:val="left" w:pos="1208"/>
                                </w:tabs>
                                <w:autoSpaceDE w:val="0"/>
                                <w:autoSpaceDN w:val="0"/>
                                <w:spacing w:after="0" w:line="171" w:lineRule="exact"/>
                                <w:rPr>
                                  <w:rFonts w:ascii="Times New Roman" w:hAnsi="Times New Roman"/>
                                  <w:sz w:val="15"/>
                                </w:rPr>
                              </w:pPr>
                              <w:r>
                                <w:rPr>
                                  <w:rFonts w:ascii="Times New Roman" w:hAnsi="Times New Roman"/>
                                  <w:spacing w:val="-2"/>
                                  <w:sz w:val="15"/>
                                </w:rPr>
                                <w:t>сталь;</w:t>
                              </w:r>
                            </w:p>
                            <w:p w14:paraId="7215B873" w14:textId="77777777" w:rsidR="00F56BD2" w:rsidRDefault="00F56BD2" w:rsidP="00C91C46">
                              <w:pPr>
                                <w:tabs>
                                  <w:tab w:val="left" w:pos="1122"/>
                                </w:tabs>
                                <w:spacing w:line="205" w:lineRule="exact"/>
                                <w:ind w:right="112"/>
                                <w:jc w:val="right"/>
                                <w:rPr>
                                  <w:rFonts w:ascii="Times New Roman" w:hAnsi="Times New Roman"/>
                                  <w:b/>
                                  <w:position w:val="-2"/>
                                  <w:sz w:val="18"/>
                                </w:rPr>
                              </w:pPr>
                            </w:p>
                            <w:p w14:paraId="1963E3CA" w14:textId="77777777" w:rsidR="00CC4540" w:rsidRDefault="00C91C46" w:rsidP="00CC4540">
                              <w:pPr>
                                <w:tabs>
                                  <w:tab w:val="left" w:pos="1122"/>
                                </w:tabs>
                                <w:spacing w:after="0" w:line="205" w:lineRule="exact"/>
                                <w:rPr>
                                  <w:rFonts w:ascii="Times New Roman" w:hAnsi="Times New Roman"/>
                                  <w:b/>
                                  <w:position w:val="-2"/>
                                  <w:sz w:val="18"/>
                                </w:rPr>
                              </w:pPr>
                              <w:r>
                                <w:rPr>
                                  <w:rFonts w:ascii="Times New Roman" w:hAnsi="Times New Roman"/>
                                  <w:b/>
                                  <w:position w:val="-2"/>
                                  <w:sz w:val="18"/>
                                </w:rPr>
                                <w:t xml:space="preserve">1 </w:t>
                              </w:r>
                              <w:r>
                                <w:rPr>
                                  <w:rFonts w:ascii="Times New Roman" w:hAnsi="Times New Roman"/>
                                  <w:b/>
                                  <w:spacing w:val="-2"/>
                                  <w:position w:val="-2"/>
                                  <w:sz w:val="18"/>
                                </w:rPr>
                                <w:t>хвиля</w:t>
                              </w:r>
                            </w:p>
                            <w:p w14:paraId="62959FD3" w14:textId="0D7D498A" w:rsidR="00C91C46" w:rsidRDefault="00CC4540" w:rsidP="00CC4540">
                              <w:pPr>
                                <w:tabs>
                                  <w:tab w:val="left" w:pos="1122"/>
                                </w:tabs>
                                <w:spacing w:after="0" w:line="205" w:lineRule="exact"/>
                                <w:rPr>
                                  <w:rFonts w:ascii="Times New Roman" w:hAnsi="Times New Roman"/>
                                  <w:sz w:val="15"/>
                                </w:rPr>
                              </w:pPr>
                              <w:r>
                                <w:rPr>
                                  <w:rFonts w:ascii="Times New Roman" w:hAnsi="Times New Roman"/>
                                  <w:spacing w:val="-4"/>
                                  <w:sz w:val="15"/>
                                </w:rPr>
                                <w:t>-</w:t>
                              </w:r>
                              <w:r w:rsidR="00C91C46">
                                <w:rPr>
                                  <w:rFonts w:ascii="Times New Roman" w:hAnsi="Times New Roman"/>
                                  <w:spacing w:val="-4"/>
                                  <w:sz w:val="15"/>
                                </w:rPr>
                                <w:t>текстиль</w:t>
                              </w:r>
                            </w:p>
                            <w:p w14:paraId="21215C2A" w14:textId="77777777" w:rsidR="00C91C46" w:rsidRDefault="00C91C46" w:rsidP="00CC4540">
                              <w:pPr>
                                <w:widowControl w:val="0"/>
                                <w:numPr>
                                  <w:ilvl w:val="0"/>
                                  <w:numId w:val="2"/>
                                </w:numPr>
                                <w:tabs>
                                  <w:tab w:val="left" w:pos="86"/>
                                </w:tabs>
                                <w:autoSpaceDE w:val="0"/>
                                <w:autoSpaceDN w:val="0"/>
                                <w:spacing w:after="0" w:line="167" w:lineRule="exact"/>
                                <w:ind w:hanging="86"/>
                                <w:rPr>
                                  <w:rFonts w:ascii="Times New Roman" w:hAnsi="Times New Roman"/>
                                  <w:sz w:val="15"/>
                                </w:rPr>
                              </w:pPr>
                              <w:r>
                                <w:rPr>
                                  <w:rFonts w:ascii="Times New Roman" w:hAnsi="Times New Roman"/>
                                  <w:spacing w:val="-2"/>
                                  <w:sz w:val="15"/>
                                </w:rPr>
                                <w:t>залізо;</w:t>
                              </w:r>
                            </w:p>
                            <w:p w14:paraId="17D96A10" w14:textId="77777777" w:rsidR="00C91C46" w:rsidRDefault="00C91C46" w:rsidP="00CC4540">
                              <w:pPr>
                                <w:widowControl w:val="0"/>
                                <w:numPr>
                                  <w:ilvl w:val="0"/>
                                  <w:numId w:val="2"/>
                                </w:numPr>
                                <w:tabs>
                                  <w:tab w:val="left" w:pos="86"/>
                                </w:tabs>
                                <w:autoSpaceDE w:val="0"/>
                                <w:autoSpaceDN w:val="0"/>
                                <w:spacing w:after="0" w:line="237" w:lineRule="auto"/>
                                <w:ind w:firstLine="0"/>
                                <w:rPr>
                                  <w:rFonts w:ascii="Times New Roman" w:hAnsi="Times New Roman"/>
                                  <w:sz w:val="15"/>
                                </w:rPr>
                              </w:pPr>
                              <w:r>
                                <w:rPr>
                                  <w:rFonts w:ascii="Times New Roman" w:hAnsi="Times New Roman"/>
                                  <w:spacing w:val="-2"/>
                                  <w:sz w:val="15"/>
                                </w:rPr>
                                <w:t>водяний</w:t>
                              </w:r>
                              <w:r>
                                <w:rPr>
                                  <w:rFonts w:ascii="Times New Roman" w:hAnsi="Times New Roman"/>
                                  <w:spacing w:val="40"/>
                                  <w:sz w:val="15"/>
                                </w:rPr>
                                <w:t xml:space="preserve"> </w:t>
                              </w:r>
                              <w:r>
                                <w:rPr>
                                  <w:rFonts w:ascii="Times New Roman" w:hAnsi="Times New Roman"/>
                                  <w:spacing w:val="-2"/>
                                  <w:sz w:val="15"/>
                                </w:rPr>
                                <w:t>двигун;</w:t>
                              </w:r>
                              <w:r>
                                <w:rPr>
                                  <w:rFonts w:ascii="Times New Roman" w:hAnsi="Times New Roman"/>
                                  <w:spacing w:val="40"/>
                                  <w:sz w:val="15"/>
                                </w:rPr>
                                <w:t xml:space="preserve"> </w:t>
                              </w:r>
                              <w:r>
                                <w:rPr>
                                  <w:rFonts w:ascii="Times New Roman" w:hAnsi="Times New Roman"/>
                                  <w:spacing w:val="-2"/>
                                  <w:sz w:val="15"/>
                                </w:rPr>
                                <w:t>механізація;</w:t>
                              </w:r>
                            </w:p>
                            <w:p w14:paraId="0AC6A123" w14:textId="77777777" w:rsidR="00C91C46" w:rsidRDefault="00C91C46" w:rsidP="00C91C46">
                              <w:pPr>
                                <w:widowControl w:val="0"/>
                                <w:numPr>
                                  <w:ilvl w:val="0"/>
                                  <w:numId w:val="2"/>
                                </w:numPr>
                                <w:tabs>
                                  <w:tab w:val="left" w:pos="86"/>
                                </w:tabs>
                                <w:autoSpaceDE w:val="0"/>
                                <w:autoSpaceDN w:val="0"/>
                                <w:spacing w:before="1" w:after="0" w:line="172" w:lineRule="exact"/>
                                <w:ind w:left="86" w:hanging="86"/>
                                <w:rPr>
                                  <w:rFonts w:ascii="Times New Roman" w:hAnsi="Times New Roman"/>
                                  <w:sz w:val="15"/>
                                </w:rPr>
                              </w:pPr>
                              <w:r>
                                <w:rPr>
                                  <w:rFonts w:ascii="Times New Roman" w:hAnsi="Times New Roman"/>
                                  <w:spacing w:val="-2"/>
                                  <w:sz w:val="15"/>
                                </w:rPr>
                                <w:t>комерція.</w:t>
                              </w:r>
                            </w:p>
                          </w:txbxContent>
                        </wps:txbx>
                        <wps:bodyPr wrap="square" lIns="0" tIns="0" rIns="0" bIns="0" rtlCol="0">
                          <a:noAutofit/>
                        </wps:bodyPr>
                      </wps:wsp>
                    </wpg:wgp>
                  </a:graphicData>
                </a:graphic>
              </wp:inline>
            </w:drawing>
          </mc:Choice>
          <mc:Fallback>
            <w:pict>
              <v:group w14:anchorId="2C9E83DD" id="Group 206" o:spid="_x0000_s1061" style="width:344.1pt;height:400.7pt;mso-position-horizontal-relative:char;mso-position-vertical-relative:line" coordorigin=",473" coordsize="47363,58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8aa6gQAAEoXAAAOAAAAZHJzL2Uyb0RvYy54bWzsWNtu3DYQfS/QfxD0Xq9ISRQpeB20cWMU&#10;CJIAcdFnrla7K1QrqqT24r/vcChKe4kRx3EMI7Af1pQ4IodzzhkOeflmv66DbalNpZppSC6iMCib&#10;Qs2rZjkN/7599xsPA9PJZi5r1ZTT8K404ZurX3+53LV5SdVK1fNSBzBIY/JdOw1XXdfmk4kpVuVa&#10;mgvVlg10LpReyw4e9XIy13IHo6/rCY0iNtkpPW+1Kkpj4O216wyvcPzFoiy6j4uFKbugnobgW4e/&#10;Gn9n9ndydSnzpZbtqip6N+QjvFjLqoFJh6GuZSeDja7OhlpXhVZGLbqLQq0narGoihLXAKsh0clq&#10;brTatLiWZb5btkOYILQncXr0sMWH7ScdVPNpSCMWBo1cA0g4b2BfQHh27TIHqxvdfm4/abdGaL5X&#10;xb8Guien/fZ5ORrvF3ptP4KlBnuM+90Q93LfBQW8TOIsIikNgwL60ohzHqcOmWIF8I3fJVnsnJJ5&#10;sfrTf53FLI781zyJU0Hs1xOZu8nRxcGlXQtMM2MwzfcF8/NKtiViZGyYhmBmYzAduWiUuXCinY0l&#10;Btfkpg/rSaRiEqcgHoiIEKmIXTx8xJjgaR+ujFFGMVzDgiE6G9PdlAojL7fvTQdzATnnviVXvlXs&#10;G9/UoBarkxp10oUB6ESHAehk5mZvZWe/s0PZZrCbhs6RFcDW+2E712pb3io06yx4LIsJrsQaJdSj&#10;M5rVzaE56NRzBJbk+qBhp0RUBzfg5eFC68Z6RKIEqGQnN6qu5u+qusYHvZy9rXWwlTYT4J9dFAxx&#10;ZNZq011Ls3J22NWb1Q2S3eNlaTRT8zsAfAfpYxqa/zZSl2FQ/9UApWyu8Q3tGzPf0F39VmFGwiDB&#10;nLf7f6RuAzv9NOwA5g/KM0vmHkEbhMHWftmo3zedWlQWXmC596h/AJZb+T4L3YGpPnd4unMbODs9&#10;yOLrdHegHwh8oDrlrOc6w6ZDzavlkAA+Tj+G6c4PoLpzw8Z/ZHCLRI8JFZCIDtg7WnyJ44xmGSZZ&#10;QNb3+/9uRLCIIZXAiNAidOCi08ux7fnsvr+olSld3L6qoiM5mIeoBpnnstjIwVdVwI4qzlUhvkkV&#10;MY84DALwpzwVSYSpU+ZeGwlLGBW9OgjNsJ4BLj27OLwjXxLFcTq/TxAwQpoJt1a/DEdfm/VeU/+L&#10;Tf0E8D1J/fDqW1J/AvUBlIA9zSmPYsxzI81dwsXq8MVvAQ9ju7Nyyd3lZZ+q/f/T9A/lIMMd9d6t&#10;4nhmP85r6ocS7fkLItiqe1XcQrKeqX1A3e59UBAF3f4PBeUxJnX7/p6TABWCZ9l4FjhRB0nh7CRA&#10;Pvb0RChlUNz2dYLfB2zVaI8DfX1pC32skH3BZFNsb3JW5Hb72R4PiGTw84nq3hdTvZL4HCw8cD0G&#10;rCTlEYWjtAUjpmnCsMAbk5lIk4TBhBYtLhJxdnbzSHwfWEiSJyzHXg5YyTlYycl+81BlEc6EYK5i&#10;pxRuYNKTAotlEc36+ipLof7CmQ4qrKcBayDbT6csiJ0rDsY0iHcVj1AWoSwlFgwQDhWEx/wELBJB&#10;HoQS2RUKXHD2Y9Aa2PbToTXcAI5o9XeAwyn+odKiPAXpIFhxliVwpWc1OqZBQkRk763crsVZFKd4&#10;P/bk2hro9nxo4YUjXNjCXnp0I3z4jPvseAV+9T8AAAD//wMAUEsDBBQABgAIAAAAIQATYcaz3QAA&#10;AAUBAAAPAAAAZHJzL2Rvd25yZXYueG1sTI9Ba8JAEIXvhf6HZQq91U2slRCzERH1JIVqoXgbs2MS&#10;zM6G7JrEf99tL+1l4PEe732TLUfTiJ46V1tWEE8iEMSF1TWXCj6P25cEhPPIGhvLpOBODpb540OG&#10;qbYDf1B/8KUIJexSVFB536ZSuqIig25iW+LgXWxn0AfZlVJ3OIRy08hpFM2lwZrDQoUtrSsqroeb&#10;UbAbcFi9xpt+f72s76fj2/vXPialnp/G1QKEp9H/heEHP6BDHpjO9sbaiUZBeMT/3uDNk2QK4qwg&#10;ieIZyDyT/+nzbwAAAP//AwBQSwECLQAUAAYACAAAACEAtoM4kv4AAADhAQAAEwAAAAAAAAAAAAAA&#10;AAAAAAAAW0NvbnRlbnRfVHlwZXNdLnhtbFBLAQItABQABgAIAAAAIQA4/SH/1gAAAJQBAAALAAAA&#10;AAAAAAAAAAAAAC8BAABfcmVscy8ucmVsc1BLAQItABQABgAIAAAAIQDct8aa6gQAAEoXAAAOAAAA&#10;AAAAAAAAAAAAAC4CAABkcnMvZTJvRG9jLnhtbFBLAQItABQABgAIAAAAIQATYcaz3QAAAAUBAAAP&#10;AAAAAAAAAAAAAAAAAEQHAABkcnMvZG93bnJldi54bWxQSwUGAAAAAAQABADzAAAATggAAAAA&#10;">
                <v:shape id="Graphic 207" o:spid="_x0000_s1062" style="position:absolute;left:313;top:995;width:70;height:57627;visibility:visible;mso-wrap-style:square;v-text-anchor:top" coordsize="6985,5762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2DRxwAAANwAAAAPAAAAZHJzL2Rvd25yZXYueG1sRI9Ba8JA&#10;FITvgv9heYVeRDfNodbUVVptpR56MIrQ2yP7msRm38bdrcZ/3xUKHoeZ+YaZzjvTiBM5X1tW8DBK&#10;QBAXVtdcKtht34dPIHxA1thYJgUX8jCf9XtTzLQ984ZOeShFhLDPUEEVQptJ6YuKDPqRbYmj922d&#10;wRClK6V2eI5w08g0SR6lwZrjQoUtLSoqfvJfEymD5dd6PDm+5quFO3y+1enArPZK3d91L88gAnXh&#10;Fv5vf2gFaTKG65l4BOTsDwAA//8DAFBLAQItABQABgAIAAAAIQDb4fbL7gAAAIUBAAATAAAAAAAA&#10;AAAAAAAAAAAAAABbQ29udGVudF9UeXBlc10ueG1sUEsBAi0AFAAGAAgAAAAhAFr0LFu/AAAAFQEA&#10;AAsAAAAAAAAAAAAAAAAAHwEAAF9yZWxzLy5yZWxzUEsBAi0AFAAGAAgAAAAhAMQHYNHHAAAA3AAA&#10;AA8AAAAAAAAAAAAAAAAABwIAAGRycy9kb3ducmV2LnhtbFBLBQYAAAAAAwADALcAAAD7AgAAAAA=&#10;" path="m6731,5762421l,e" filled="f" strokeweight=".29033mm">
                  <v:path arrowok="t"/>
                </v:shape>
                <v:shape id="Graphic 208" o:spid="_x0000_s1063" style="position:absolute;top:473;width:628;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IANwQAAANwAAAAPAAAAZHJzL2Rvd25yZXYueG1sRE9LbsIw&#10;EN1X6h2sqdRdscuC0oBBqOJTITZNe4BRPMQR8TjYLgm3xwsklk/vP18OrhUXCrHxrOF9pEAQV940&#10;XGv4+928TUHEhGyw9UwarhRhuXh+mmNhfM8/dClTLXIIxwI12JS6QspYWXIYR74jztzRB4cpw1BL&#10;E7DP4a6VY6Um0mHDucFiR1+WqlP57zQcNrxd2WuYfJbn/uO03e3lWu21fn0ZVjMQiYb0EN/d30bD&#10;WOW1+Uw+AnJxAwAA//8DAFBLAQItABQABgAIAAAAIQDb4fbL7gAAAIUBAAATAAAAAAAAAAAAAAAA&#10;AAAAAABbQ29udGVudF9UeXBlc10ueG1sUEsBAi0AFAAGAAgAAAAhAFr0LFu/AAAAFQEAAAsAAAAA&#10;AAAAAAAAAAAAHwEAAF9yZWxzLy5yZWxzUEsBAi0AFAAGAAgAAAAhABs4gA3BAAAA3AAAAA8AAAAA&#10;AAAAAAAAAAAABwIAAGRycy9kb3ducmV2LnhtbFBLBQYAAAAAAwADALcAAAD1AgAAAAA=&#10;" path="m31292,l,62776r62737,-64l31292,xe" fillcolor="black" stroked="f">
                  <v:path arrowok="t"/>
                </v:shape>
                <v:shape id="Graphic 209" o:spid="_x0000_s1064" style="position:absolute;left:380;top:58594;width:46463;height:12;visibility:visible;mso-wrap-style:square;v-text-anchor:top" coordsize="464629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JkixAAAANwAAAAPAAAAZHJzL2Rvd25yZXYueG1sRI9Pi8Iw&#10;FMTvC36H8ARva2oPrlajyMKCBy/+2cPeHs2zrW1eahJr/fYbQfA4zMxvmOW6N43oyPnKsoLJOAFB&#10;nFtdcaHgdPz5nIHwAVljY5kUPMjDejX4WGKm7Z331B1CISKEfYYKyhDaTEqfl2TQj21LHL2zdQZD&#10;lK6Q2uE9wk0j0ySZSoMVx4USW/ouKa8PN6OgruXv1Xz5IrjTrvtL++PNbS5KjYb9ZgEiUB/e4Vd7&#10;qxWkyRyeZ+IRkKt/AAAA//8DAFBLAQItABQABgAIAAAAIQDb4fbL7gAAAIUBAAATAAAAAAAAAAAA&#10;AAAAAAAAAABbQ29udGVudF9UeXBlc10ueG1sUEsBAi0AFAAGAAgAAAAhAFr0LFu/AAAAFQEAAAsA&#10;AAAAAAAAAAAAAAAAHwEAAF9yZWxzLy5yZWxzUEsBAi0AFAAGAAgAAAAhALPcmSLEAAAA3AAAAA8A&#10;AAAAAAAAAAAAAAAABwIAAGRycy9kb3ducmV2LnhtbFBLBQYAAAAAAwADALcAAAD4AgAAAAA=&#10;" path="m,l4645799,e" filled="f" strokeweight=".29033mm">
                  <v:path arrowok="t"/>
                </v:shape>
                <v:shape id="Graphic 210" o:spid="_x0000_s1065" style="position:absolute;left:46734;top:58280;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xrWwQAAANwAAAAPAAAAZHJzL2Rvd25yZXYueG1sRE9LbsIw&#10;EN1X4g7WVGJXHFhQSDEIoQIVYkPoAUbxNI6Ix6ltSLg9XiCxfHr/xaq3jbiRD7VjBeNRBoK4dLrm&#10;SsHvefsxAxEissbGMSm4U4DVcvC2wFy7jk90K2IlUgiHHBWYGNtcylAashhGriVO3J/zFmOCvpLa&#10;Y5fCbSMnWTaVFmtODQZb2hgqL8XVKjhuebc2dz+dF//d52W3P8jv7KDU8L1ff4GI1MeX+On+0Qom&#10;4zQ/nUlHQC4fAAAA//8DAFBLAQItABQABgAIAAAAIQDb4fbL7gAAAIUBAAATAAAAAAAAAAAAAAAA&#10;AAAAAABbQ29udGVudF9UeXBlc10ueG1sUEsBAi0AFAAGAAgAAAAhAFr0LFu/AAAAFQEAAAsAAAAA&#10;AAAAAAAAAAAAHwEAAF9yZWxzLy5yZWxzUEsBAi0AFAAGAAgAAAAhAGCXGtbBAAAA3AAAAA8AAAAA&#10;AAAAAAAAAAAABwIAAGRycy9kb3ducmV2LnhtbFBLBQYAAAAAAwADALcAAAD1AgAAAAA=&#10;" path="m,l,62737,62737,31368,,xe" fillcolor="black" stroked="f">
                  <v:path arrowok="t"/>
                </v:shape>
                <v:shape id="Textbox 212" o:spid="_x0000_s1066" type="#_x0000_t202" style="position:absolute;left:29987;top:995;width:15153;height:1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J2ixAAAANwAAAAPAAAAZHJzL2Rvd25yZXYueG1sRI9Ba8JA&#10;FITvBf/D8gRvdWMO0kZXEVEQBGmMB4/P7DNZzL6N2VXTf98tFHocZuYbZr7sbSOe1HnjWMFknIAg&#10;Lp02XCk4Fdv3DxA+IGtsHJOCb/KwXAze5php9+KcnsdQiQhhn6GCOoQ2k9KXNVn0Y9cSR+/qOosh&#10;yq6SusNXhNtGpkkylRYNx4UaW1rXVN6OD6tgdeZ8Y+6Hy1d+zU1RfCa8n96UGg371QxEoD78h//a&#10;O60gnaTweyYeAbn4AQAA//8DAFBLAQItABQABgAIAAAAIQDb4fbL7gAAAIUBAAATAAAAAAAAAAAA&#10;AAAAAAAAAABbQ29udGVudF9UeXBlc10ueG1sUEsBAi0AFAAGAAgAAAAhAFr0LFu/AAAAFQEAAAsA&#10;AAAAAAAAAAAAAAAAHwEAAF9yZWxzLy5yZWxzUEsBAi0AFAAGAAgAAAAhAKC8naLEAAAA3AAAAA8A&#10;AAAAAAAAAAAAAAAABwIAAGRycy9kb3ducmV2LnhtbFBLBQYAAAAAAwADALcAAAD4AgAAAAA=&#10;" filled="f" stroked="f">
                  <v:textbox inset="0,0,0,0">
                    <w:txbxContent>
                      <w:p w14:paraId="6F9B2E9D" w14:textId="77777777" w:rsidR="00C91C46" w:rsidRPr="00F56BD2" w:rsidRDefault="00C91C46" w:rsidP="00F56BD2">
                        <w:pPr>
                          <w:spacing w:after="0" w:line="240" w:lineRule="auto"/>
                          <w:rPr>
                            <w:rFonts w:ascii="Times New Roman" w:hAnsi="Times New Roman"/>
                            <w:b/>
                            <w:sz w:val="16"/>
                            <w:szCs w:val="16"/>
                          </w:rPr>
                        </w:pPr>
                        <w:r w:rsidRPr="00F56BD2">
                          <w:rPr>
                            <w:rFonts w:ascii="Times New Roman" w:hAnsi="Times New Roman"/>
                            <w:b/>
                            <w:sz w:val="16"/>
                            <w:szCs w:val="16"/>
                          </w:rPr>
                          <w:t xml:space="preserve">6 </w:t>
                        </w:r>
                        <w:r w:rsidRPr="00F56BD2">
                          <w:rPr>
                            <w:rFonts w:ascii="Times New Roman" w:hAnsi="Times New Roman"/>
                            <w:b/>
                            <w:spacing w:val="-2"/>
                            <w:sz w:val="16"/>
                            <w:szCs w:val="16"/>
                          </w:rPr>
                          <w:t>хвиля</w:t>
                        </w:r>
                      </w:p>
                      <w:p w14:paraId="38185202" w14:textId="77777777" w:rsidR="00F56BD2" w:rsidRPr="00F56BD2" w:rsidRDefault="00C91C46" w:rsidP="00030A38">
                        <w:pPr>
                          <w:widowControl w:val="0"/>
                          <w:numPr>
                            <w:ilvl w:val="0"/>
                            <w:numId w:val="6"/>
                          </w:numPr>
                          <w:tabs>
                            <w:tab w:val="left" w:pos="0"/>
                            <w:tab w:val="left" w:pos="85"/>
                          </w:tabs>
                          <w:autoSpaceDE w:val="0"/>
                          <w:autoSpaceDN w:val="0"/>
                          <w:spacing w:after="0" w:line="240" w:lineRule="auto"/>
                          <w:ind w:firstLine="0"/>
                          <w:rPr>
                            <w:rFonts w:ascii="Times New Roman" w:hAnsi="Times New Roman"/>
                            <w:sz w:val="16"/>
                            <w:szCs w:val="16"/>
                          </w:rPr>
                        </w:pPr>
                        <w:r w:rsidRPr="00F56BD2">
                          <w:rPr>
                            <w:rFonts w:ascii="Times New Roman" w:hAnsi="Times New Roman"/>
                            <w:spacing w:val="-2"/>
                            <w:sz w:val="16"/>
                            <w:szCs w:val="16"/>
                          </w:rPr>
                          <w:t>зелена</w:t>
                        </w:r>
                        <w:r w:rsidRPr="00F56BD2">
                          <w:rPr>
                            <w:rFonts w:ascii="Times New Roman" w:hAnsi="Times New Roman"/>
                            <w:spacing w:val="-8"/>
                            <w:sz w:val="16"/>
                            <w:szCs w:val="16"/>
                          </w:rPr>
                          <w:t xml:space="preserve"> </w:t>
                        </w:r>
                        <w:r w:rsidRPr="00F56BD2">
                          <w:rPr>
                            <w:rFonts w:ascii="Times New Roman" w:hAnsi="Times New Roman"/>
                            <w:spacing w:val="-2"/>
                            <w:sz w:val="16"/>
                            <w:szCs w:val="16"/>
                          </w:rPr>
                          <w:t>економіка</w:t>
                        </w:r>
                        <w:r w:rsidRPr="00F56BD2">
                          <w:rPr>
                            <w:rFonts w:ascii="Times New Roman" w:hAnsi="Times New Roman"/>
                            <w:spacing w:val="40"/>
                            <w:sz w:val="16"/>
                            <w:szCs w:val="16"/>
                          </w:rPr>
                          <w:t xml:space="preserve"> </w:t>
                        </w:r>
                      </w:p>
                      <w:p w14:paraId="2F5826FC" w14:textId="0E864F7E" w:rsidR="00C91C46" w:rsidRPr="00F56BD2" w:rsidRDefault="00C91C46" w:rsidP="00030A38">
                        <w:pPr>
                          <w:widowControl w:val="0"/>
                          <w:numPr>
                            <w:ilvl w:val="0"/>
                            <w:numId w:val="6"/>
                          </w:numPr>
                          <w:tabs>
                            <w:tab w:val="left" w:pos="0"/>
                            <w:tab w:val="left" w:pos="85"/>
                          </w:tabs>
                          <w:autoSpaceDE w:val="0"/>
                          <w:autoSpaceDN w:val="0"/>
                          <w:spacing w:after="0" w:line="240" w:lineRule="auto"/>
                          <w:ind w:firstLine="0"/>
                          <w:rPr>
                            <w:rFonts w:ascii="Times New Roman" w:hAnsi="Times New Roman"/>
                            <w:sz w:val="16"/>
                            <w:szCs w:val="16"/>
                          </w:rPr>
                        </w:pPr>
                        <w:r w:rsidRPr="00F56BD2">
                          <w:rPr>
                            <w:rFonts w:ascii="Times New Roman" w:hAnsi="Times New Roman"/>
                            <w:sz w:val="16"/>
                            <w:szCs w:val="16"/>
                          </w:rPr>
                          <w:t>сталий</w:t>
                        </w:r>
                        <w:r w:rsidRPr="00F56BD2">
                          <w:rPr>
                            <w:rFonts w:ascii="Times New Roman" w:hAnsi="Times New Roman"/>
                            <w:spacing w:val="-10"/>
                            <w:sz w:val="16"/>
                            <w:szCs w:val="16"/>
                          </w:rPr>
                          <w:t xml:space="preserve"> </w:t>
                        </w:r>
                        <w:r w:rsidRPr="00F56BD2">
                          <w:rPr>
                            <w:rFonts w:ascii="Times New Roman" w:hAnsi="Times New Roman"/>
                            <w:sz w:val="16"/>
                            <w:szCs w:val="16"/>
                          </w:rPr>
                          <w:t>розвиток;</w:t>
                        </w:r>
                      </w:p>
                      <w:p w14:paraId="63DC70C7" w14:textId="34A2BAEE" w:rsidR="00C91C46" w:rsidRPr="00F56BD2" w:rsidRDefault="00C91C46" w:rsidP="00030A38">
                        <w:pPr>
                          <w:widowControl w:val="0"/>
                          <w:numPr>
                            <w:ilvl w:val="0"/>
                            <w:numId w:val="6"/>
                          </w:numPr>
                          <w:tabs>
                            <w:tab w:val="left" w:pos="86"/>
                          </w:tabs>
                          <w:autoSpaceDE w:val="0"/>
                          <w:autoSpaceDN w:val="0"/>
                          <w:spacing w:after="0" w:line="240" w:lineRule="auto"/>
                          <w:ind w:firstLine="0"/>
                          <w:rPr>
                            <w:rFonts w:ascii="Times New Roman" w:hAnsi="Times New Roman"/>
                            <w:sz w:val="16"/>
                            <w:szCs w:val="16"/>
                          </w:rPr>
                        </w:pPr>
                        <w:r w:rsidRPr="00F56BD2">
                          <w:rPr>
                            <w:rFonts w:ascii="Times New Roman" w:hAnsi="Times New Roman"/>
                            <w:spacing w:val="-2"/>
                            <w:sz w:val="16"/>
                            <w:szCs w:val="16"/>
                          </w:rPr>
                          <w:t>ресурсна</w:t>
                        </w:r>
                        <w:r w:rsidR="00F56BD2" w:rsidRPr="00F56BD2">
                          <w:rPr>
                            <w:rFonts w:ascii="Times New Roman" w:hAnsi="Times New Roman"/>
                            <w:sz w:val="16"/>
                            <w:szCs w:val="16"/>
                          </w:rPr>
                          <w:t xml:space="preserve"> </w:t>
                        </w:r>
                        <w:r w:rsidRPr="00F56BD2">
                          <w:rPr>
                            <w:rFonts w:ascii="Times New Roman" w:hAnsi="Times New Roman"/>
                            <w:spacing w:val="-2"/>
                            <w:sz w:val="16"/>
                            <w:szCs w:val="16"/>
                          </w:rPr>
                          <w:t>продуктивність;</w:t>
                        </w:r>
                      </w:p>
                      <w:p w14:paraId="1ADF7D54" w14:textId="77777777" w:rsidR="00C91C46" w:rsidRPr="00F56BD2" w:rsidRDefault="00C91C46" w:rsidP="00030A38">
                        <w:pPr>
                          <w:widowControl w:val="0"/>
                          <w:numPr>
                            <w:ilvl w:val="0"/>
                            <w:numId w:val="6"/>
                          </w:numPr>
                          <w:tabs>
                            <w:tab w:val="left" w:pos="86"/>
                          </w:tabs>
                          <w:autoSpaceDE w:val="0"/>
                          <w:autoSpaceDN w:val="0"/>
                          <w:spacing w:after="0" w:line="240" w:lineRule="auto"/>
                          <w:ind w:firstLine="0"/>
                          <w:rPr>
                            <w:rFonts w:ascii="Times New Roman" w:hAnsi="Times New Roman"/>
                            <w:sz w:val="16"/>
                            <w:szCs w:val="16"/>
                          </w:rPr>
                        </w:pPr>
                        <w:r w:rsidRPr="00F56BD2">
                          <w:rPr>
                            <w:rFonts w:ascii="Times New Roman" w:hAnsi="Times New Roman"/>
                            <w:spacing w:val="-2"/>
                            <w:sz w:val="16"/>
                            <w:szCs w:val="16"/>
                          </w:rPr>
                          <w:t>зелена хімія;</w:t>
                        </w:r>
                      </w:p>
                      <w:p w14:paraId="0AD7BCBC" w14:textId="77777777" w:rsidR="00C91C46" w:rsidRPr="00F56BD2" w:rsidRDefault="00C91C46" w:rsidP="00030A38">
                        <w:pPr>
                          <w:widowControl w:val="0"/>
                          <w:numPr>
                            <w:ilvl w:val="0"/>
                            <w:numId w:val="6"/>
                          </w:numPr>
                          <w:tabs>
                            <w:tab w:val="left" w:pos="86"/>
                          </w:tabs>
                          <w:autoSpaceDE w:val="0"/>
                          <w:autoSpaceDN w:val="0"/>
                          <w:spacing w:after="0" w:line="240" w:lineRule="auto"/>
                          <w:ind w:firstLine="0"/>
                          <w:rPr>
                            <w:rFonts w:ascii="Times New Roman" w:hAnsi="Times New Roman"/>
                            <w:sz w:val="16"/>
                            <w:szCs w:val="16"/>
                          </w:rPr>
                        </w:pPr>
                        <w:r w:rsidRPr="00F56BD2">
                          <w:rPr>
                            <w:rFonts w:ascii="Times New Roman" w:hAnsi="Times New Roman"/>
                            <w:spacing w:val="-2"/>
                            <w:sz w:val="16"/>
                            <w:szCs w:val="16"/>
                          </w:rPr>
                          <w:t>індустріальна</w:t>
                        </w:r>
                        <w:r w:rsidRPr="00F56BD2">
                          <w:rPr>
                            <w:rFonts w:ascii="Times New Roman" w:hAnsi="Times New Roman"/>
                            <w:spacing w:val="-3"/>
                            <w:sz w:val="16"/>
                            <w:szCs w:val="16"/>
                          </w:rPr>
                          <w:t xml:space="preserve"> </w:t>
                        </w:r>
                        <w:r w:rsidRPr="00F56BD2">
                          <w:rPr>
                            <w:rFonts w:ascii="Times New Roman" w:hAnsi="Times New Roman"/>
                            <w:spacing w:val="-2"/>
                            <w:sz w:val="16"/>
                            <w:szCs w:val="16"/>
                          </w:rPr>
                          <w:t>екологія;</w:t>
                        </w:r>
                      </w:p>
                      <w:p w14:paraId="11703B23" w14:textId="77777777" w:rsidR="00C91C46" w:rsidRPr="00F56BD2" w:rsidRDefault="00C91C46" w:rsidP="00030A38">
                        <w:pPr>
                          <w:widowControl w:val="0"/>
                          <w:numPr>
                            <w:ilvl w:val="0"/>
                            <w:numId w:val="6"/>
                          </w:numPr>
                          <w:tabs>
                            <w:tab w:val="left" w:pos="86"/>
                          </w:tabs>
                          <w:autoSpaceDE w:val="0"/>
                          <w:autoSpaceDN w:val="0"/>
                          <w:spacing w:after="0" w:line="240" w:lineRule="auto"/>
                          <w:ind w:firstLine="0"/>
                          <w:rPr>
                            <w:rFonts w:ascii="Times New Roman" w:hAnsi="Times New Roman"/>
                            <w:sz w:val="16"/>
                            <w:szCs w:val="16"/>
                          </w:rPr>
                        </w:pPr>
                        <w:r w:rsidRPr="00F56BD2">
                          <w:rPr>
                            <w:rFonts w:ascii="Times New Roman" w:hAnsi="Times New Roman"/>
                            <w:spacing w:val="-2"/>
                            <w:sz w:val="16"/>
                            <w:szCs w:val="16"/>
                          </w:rPr>
                          <w:t>відновлювальна</w:t>
                        </w:r>
                        <w:r w:rsidRPr="00F56BD2">
                          <w:rPr>
                            <w:rFonts w:ascii="Times New Roman" w:hAnsi="Times New Roman"/>
                            <w:spacing w:val="40"/>
                            <w:sz w:val="16"/>
                            <w:szCs w:val="16"/>
                          </w:rPr>
                          <w:t xml:space="preserve"> </w:t>
                        </w:r>
                        <w:r w:rsidRPr="00F56BD2">
                          <w:rPr>
                            <w:rFonts w:ascii="Times New Roman" w:hAnsi="Times New Roman"/>
                            <w:spacing w:val="-2"/>
                            <w:sz w:val="16"/>
                            <w:szCs w:val="16"/>
                          </w:rPr>
                          <w:t>енергетика;</w:t>
                        </w:r>
                      </w:p>
                      <w:p w14:paraId="19996218" w14:textId="77777777" w:rsidR="00C91C46" w:rsidRPr="00F56BD2" w:rsidRDefault="00C91C46" w:rsidP="00030A38">
                        <w:pPr>
                          <w:widowControl w:val="0"/>
                          <w:numPr>
                            <w:ilvl w:val="0"/>
                            <w:numId w:val="6"/>
                          </w:numPr>
                          <w:tabs>
                            <w:tab w:val="left" w:pos="86"/>
                          </w:tabs>
                          <w:autoSpaceDE w:val="0"/>
                          <w:autoSpaceDN w:val="0"/>
                          <w:spacing w:before="2" w:after="0" w:line="172" w:lineRule="exact"/>
                          <w:ind w:left="86" w:hanging="86"/>
                          <w:rPr>
                            <w:rFonts w:ascii="Times New Roman" w:hAnsi="Times New Roman"/>
                            <w:sz w:val="16"/>
                            <w:szCs w:val="16"/>
                          </w:rPr>
                        </w:pPr>
                        <w:r w:rsidRPr="00F56BD2">
                          <w:rPr>
                            <w:rFonts w:ascii="Times New Roman" w:hAnsi="Times New Roman"/>
                            <w:spacing w:val="-2"/>
                            <w:sz w:val="16"/>
                            <w:szCs w:val="16"/>
                          </w:rPr>
                          <w:t>нанотехнології</w:t>
                        </w:r>
                      </w:p>
                    </w:txbxContent>
                  </v:textbox>
                </v:shape>
                <v:shape id="Textbox 213" o:spid="_x0000_s1067" type="#_x0000_t202" style="position:absolute;left:24580;top:13254;width:9544;height:89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Dg5xAAAANwAAAAPAAAAZHJzL2Rvd25yZXYueG1sRI9Ba8JA&#10;FITvgv9heYI33aggGl1FikJBKI3pocdn9pksZt+m2a3Gf98tCB6HmfmGWW87W4sbtd44VjAZJyCI&#10;C6cNlwq+8sNoAcIHZI21Y1LwIA/bTb+3xlS7O2d0O4VSRAj7FBVUITSplL6oyKIfu4Y4ehfXWgxR&#10;tqXULd4j3NZymiRzadFwXKiwobeKiuvp1yrYfXO2Nz8f58/skpk8XyZ8nF+VGg663QpEoC68ws/2&#10;u1Ywnczg/0w8AnLzBwAA//8DAFBLAQItABQABgAIAAAAIQDb4fbL7gAAAIUBAAATAAAAAAAAAAAA&#10;AAAAAAAAAABbQ29udGVudF9UeXBlc10ueG1sUEsBAi0AFAAGAAgAAAAhAFr0LFu/AAAAFQEAAAsA&#10;AAAAAAAAAAAAAAAAHwEAAF9yZWxzLy5yZWxzUEsBAi0AFAAGAAgAAAAhAM/wODnEAAAA3AAAAA8A&#10;AAAAAAAAAAAAAAAABwIAAGRycy9kb3ducmV2LnhtbFBLBQYAAAAAAwADALcAAAD4AgAAAAA=&#10;" filled="f" stroked="f">
                  <v:textbox inset="0,0,0,0">
                    <w:txbxContent>
                      <w:p w14:paraId="4FDF0009" w14:textId="77777777" w:rsidR="00C91C46" w:rsidRDefault="00C91C46" w:rsidP="00810243">
                        <w:pPr>
                          <w:spacing w:after="0" w:line="240" w:lineRule="auto"/>
                          <w:rPr>
                            <w:rFonts w:ascii="Times New Roman" w:hAnsi="Times New Roman"/>
                            <w:b/>
                            <w:sz w:val="18"/>
                          </w:rPr>
                        </w:pPr>
                        <w:r>
                          <w:rPr>
                            <w:rFonts w:ascii="Times New Roman" w:hAnsi="Times New Roman"/>
                            <w:b/>
                            <w:sz w:val="18"/>
                          </w:rPr>
                          <w:t xml:space="preserve">5 </w:t>
                        </w:r>
                        <w:r>
                          <w:rPr>
                            <w:rFonts w:ascii="Times New Roman" w:hAnsi="Times New Roman"/>
                            <w:b/>
                            <w:spacing w:val="-2"/>
                            <w:sz w:val="18"/>
                          </w:rPr>
                          <w:t>хвиля</w:t>
                        </w:r>
                      </w:p>
                      <w:p w14:paraId="39112BFE" w14:textId="77777777" w:rsidR="00C91C46" w:rsidRDefault="00C91C46" w:rsidP="00810243">
                        <w:pPr>
                          <w:spacing w:after="0" w:line="240" w:lineRule="auto"/>
                          <w:rPr>
                            <w:rFonts w:ascii="Times New Roman" w:hAnsi="Times New Roman"/>
                            <w:sz w:val="15"/>
                          </w:rPr>
                        </w:pPr>
                        <w:r>
                          <w:rPr>
                            <w:rFonts w:ascii="Times New Roman" w:hAnsi="Times New Roman"/>
                            <w:spacing w:val="-2"/>
                            <w:sz w:val="15"/>
                          </w:rPr>
                          <w:t>-цифрові</w:t>
                        </w:r>
                        <w:r>
                          <w:rPr>
                            <w:rFonts w:ascii="Times New Roman" w:hAnsi="Times New Roman"/>
                            <w:spacing w:val="3"/>
                            <w:sz w:val="15"/>
                          </w:rPr>
                          <w:t xml:space="preserve"> </w:t>
                        </w:r>
                        <w:r>
                          <w:rPr>
                            <w:rFonts w:ascii="Times New Roman" w:hAnsi="Times New Roman"/>
                            <w:spacing w:val="-2"/>
                            <w:sz w:val="15"/>
                          </w:rPr>
                          <w:t>мережі;</w:t>
                        </w:r>
                      </w:p>
                      <w:p w14:paraId="62D17721" w14:textId="77777777" w:rsidR="00C91C46" w:rsidRDefault="00C91C46" w:rsidP="00810243">
                        <w:pPr>
                          <w:spacing w:after="0" w:line="240" w:lineRule="auto"/>
                          <w:rPr>
                            <w:rFonts w:ascii="Times New Roman" w:hAnsi="Times New Roman"/>
                            <w:sz w:val="15"/>
                          </w:rPr>
                        </w:pPr>
                        <w:r>
                          <w:rPr>
                            <w:rFonts w:ascii="Times New Roman" w:hAnsi="Times New Roman"/>
                            <w:spacing w:val="-2"/>
                            <w:sz w:val="15"/>
                          </w:rPr>
                          <w:t>-біотехнології;</w:t>
                        </w:r>
                      </w:p>
                      <w:p w14:paraId="18D40E3F" w14:textId="77777777" w:rsidR="00C91C46" w:rsidRDefault="00C91C46" w:rsidP="00030A38">
                        <w:pPr>
                          <w:widowControl w:val="0"/>
                          <w:numPr>
                            <w:ilvl w:val="0"/>
                            <w:numId w:val="5"/>
                          </w:numPr>
                          <w:tabs>
                            <w:tab w:val="left" w:pos="86"/>
                          </w:tabs>
                          <w:autoSpaceDE w:val="0"/>
                          <w:autoSpaceDN w:val="0"/>
                          <w:spacing w:after="0" w:line="171" w:lineRule="exact"/>
                          <w:ind w:left="86" w:hanging="86"/>
                          <w:rPr>
                            <w:rFonts w:ascii="Times New Roman" w:hAnsi="Times New Roman"/>
                            <w:sz w:val="15"/>
                          </w:rPr>
                        </w:pPr>
                        <w:r>
                          <w:rPr>
                            <w:rFonts w:ascii="Times New Roman" w:hAnsi="Times New Roman"/>
                            <w:spacing w:val="-2"/>
                            <w:sz w:val="15"/>
                          </w:rPr>
                          <w:t>програмування;</w:t>
                        </w:r>
                      </w:p>
                      <w:p w14:paraId="1A3357E3" w14:textId="77777777" w:rsidR="00C91C46" w:rsidRDefault="00C91C46" w:rsidP="00030A38">
                        <w:pPr>
                          <w:widowControl w:val="0"/>
                          <w:numPr>
                            <w:ilvl w:val="0"/>
                            <w:numId w:val="5"/>
                          </w:numPr>
                          <w:tabs>
                            <w:tab w:val="left" w:pos="86"/>
                          </w:tabs>
                          <w:autoSpaceDE w:val="0"/>
                          <w:autoSpaceDN w:val="0"/>
                          <w:spacing w:after="0" w:line="240" w:lineRule="auto"/>
                          <w:ind w:right="174" w:firstLine="0"/>
                          <w:rPr>
                            <w:rFonts w:ascii="Times New Roman" w:hAnsi="Times New Roman"/>
                            <w:sz w:val="15"/>
                          </w:rPr>
                        </w:pPr>
                        <w:r>
                          <w:rPr>
                            <w:rFonts w:ascii="Times New Roman" w:hAnsi="Times New Roman"/>
                            <w:spacing w:val="-2"/>
                            <w:sz w:val="15"/>
                          </w:rPr>
                          <w:t>інформаційні</w:t>
                        </w:r>
                        <w:r>
                          <w:rPr>
                            <w:rFonts w:ascii="Times New Roman" w:hAnsi="Times New Roman"/>
                            <w:spacing w:val="40"/>
                            <w:sz w:val="15"/>
                          </w:rPr>
                          <w:t xml:space="preserve"> </w:t>
                        </w:r>
                        <w:r>
                          <w:rPr>
                            <w:rFonts w:ascii="Times New Roman" w:hAnsi="Times New Roman"/>
                            <w:spacing w:val="-2"/>
                            <w:sz w:val="15"/>
                          </w:rPr>
                          <w:t>технологій</w:t>
                        </w:r>
                      </w:p>
                    </w:txbxContent>
                  </v:textbox>
                </v:shape>
                <v:shape id="Textbox 214" o:spid="_x0000_s1068" type="#_x0000_t202" style="position:absolute;left:18699;top:22201;width:6703;height:7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aBNxAAAANwAAAAPAAAAZHJzL2Rvd25yZXYueG1sRI9Ba8JA&#10;FITvgv9heYI33SgiGl1FikJBKI3pocdn9pksZt+m2a3Gf98tCB6HmfmGWW87W4sbtd44VjAZJyCI&#10;C6cNlwq+8sNoAcIHZI21Y1LwIA/bTb+3xlS7O2d0O4VSRAj7FBVUITSplL6oyKIfu4Y4ehfXWgxR&#10;tqXULd4j3NZymiRzadFwXKiwobeKiuvp1yrYfXO2Nz8f58/skpk8XyZ8nF+VGg663QpEoC68ws/2&#10;u1Ywnczg/0w8AnLzBwAA//8DAFBLAQItABQABgAIAAAAIQDb4fbL7gAAAIUBAAATAAAAAAAAAAAA&#10;AAAAAAAAAABbQ29udGVudF9UeXBlc10ueG1sUEsBAi0AFAAGAAgAAAAhAFr0LFu/AAAAFQEAAAsA&#10;AAAAAAAAAAAAAAAAHwEAAF9yZWxzLy5yZWxzUEsBAi0AFAAGAAgAAAAhAEAZoE3EAAAA3AAAAA8A&#10;AAAAAAAAAAAAAAAABwIAAGRycy9kb3ducmV2LnhtbFBLBQYAAAAAAwADALcAAAD4AgAAAAA=&#10;" filled="f" stroked="f">
                  <v:textbox inset="0,0,0,0">
                    <w:txbxContent>
                      <w:p w14:paraId="4EE601D0" w14:textId="77777777" w:rsidR="00C91C46" w:rsidRPr="00810243" w:rsidRDefault="00C91C46" w:rsidP="00810243">
                        <w:pPr>
                          <w:spacing w:after="0" w:line="240" w:lineRule="auto"/>
                          <w:rPr>
                            <w:rFonts w:ascii="Times New Roman" w:hAnsi="Times New Roman"/>
                            <w:b/>
                            <w:sz w:val="16"/>
                            <w:szCs w:val="16"/>
                          </w:rPr>
                        </w:pPr>
                        <w:r>
                          <w:rPr>
                            <w:rFonts w:ascii="Times New Roman" w:hAnsi="Times New Roman"/>
                            <w:b/>
                            <w:sz w:val="18"/>
                          </w:rPr>
                          <w:t xml:space="preserve">4 </w:t>
                        </w:r>
                        <w:r w:rsidRPr="00810243">
                          <w:rPr>
                            <w:rFonts w:ascii="Times New Roman" w:hAnsi="Times New Roman"/>
                            <w:b/>
                            <w:spacing w:val="-2"/>
                            <w:sz w:val="16"/>
                            <w:szCs w:val="16"/>
                          </w:rPr>
                          <w:t>хвиля</w:t>
                        </w:r>
                      </w:p>
                      <w:p w14:paraId="68E0774E" w14:textId="77777777" w:rsidR="00C91C46" w:rsidRPr="00810243" w:rsidRDefault="00C91C46" w:rsidP="00810243">
                        <w:pPr>
                          <w:spacing w:after="0" w:line="240" w:lineRule="auto"/>
                          <w:rPr>
                            <w:rFonts w:ascii="Times New Roman" w:hAnsi="Times New Roman"/>
                            <w:sz w:val="16"/>
                            <w:szCs w:val="16"/>
                          </w:rPr>
                        </w:pPr>
                        <w:r w:rsidRPr="00810243">
                          <w:rPr>
                            <w:rFonts w:ascii="Times New Roman" w:hAnsi="Times New Roman"/>
                            <w:spacing w:val="-2"/>
                            <w:sz w:val="16"/>
                            <w:szCs w:val="16"/>
                          </w:rPr>
                          <w:t>-нефтехімія;</w:t>
                        </w:r>
                      </w:p>
                      <w:p w14:paraId="064DD703" w14:textId="77777777" w:rsidR="00C91C46" w:rsidRDefault="00C91C46" w:rsidP="00810243">
                        <w:pPr>
                          <w:spacing w:after="0" w:line="240" w:lineRule="auto"/>
                          <w:rPr>
                            <w:rFonts w:ascii="Times New Roman" w:hAnsi="Times New Roman"/>
                            <w:sz w:val="15"/>
                          </w:rPr>
                        </w:pPr>
                        <w:r w:rsidRPr="00810243">
                          <w:rPr>
                            <w:rFonts w:ascii="Times New Roman" w:hAnsi="Times New Roman"/>
                            <w:spacing w:val="-2"/>
                            <w:sz w:val="16"/>
                            <w:szCs w:val="16"/>
                          </w:rPr>
                          <w:t>-електроніка</w:t>
                        </w:r>
                        <w:r>
                          <w:rPr>
                            <w:rFonts w:ascii="Times New Roman" w:hAnsi="Times New Roman"/>
                            <w:spacing w:val="-2"/>
                            <w:sz w:val="15"/>
                          </w:rPr>
                          <w:t>;</w:t>
                        </w:r>
                      </w:p>
                      <w:p w14:paraId="733E423D" w14:textId="77777777" w:rsidR="00C91C46" w:rsidRDefault="00C91C46" w:rsidP="00030A38">
                        <w:pPr>
                          <w:widowControl w:val="0"/>
                          <w:numPr>
                            <w:ilvl w:val="0"/>
                            <w:numId w:val="4"/>
                          </w:numPr>
                          <w:tabs>
                            <w:tab w:val="left" w:pos="86"/>
                          </w:tabs>
                          <w:autoSpaceDE w:val="0"/>
                          <w:autoSpaceDN w:val="0"/>
                          <w:spacing w:after="0" w:line="240" w:lineRule="auto"/>
                          <w:ind w:left="0" w:hanging="86"/>
                          <w:rPr>
                            <w:rFonts w:ascii="Times New Roman" w:hAnsi="Times New Roman"/>
                            <w:sz w:val="15"/>
                          </w:rPr>
                        </w:pPr>
                        <w:r>
                          <w:rPr>
                            <w:rFonts w:ascii="Times New Roman" w:hAnsi="Times New Roman"/>
                            <w:spacing w:val="-2"/>
                            <w:sz w:val="15"/>
                          </w:rPr>
                          <w:t>авіація;</w:t>
                        </w:r>
                      </w:p>
                      <w:p w14:paraId="3680082F" w14:textId="77777777" w:rsidR="00C91C46" w:rsidRDefault="00C91C46" w:rsidP="00030A38">
                        <w:pPr>
                          <w:widowControl w:val="0"/>
                          <w:numPr>
                            <w:ilvl w:val="0"/>
                            <w:numId w:val="4"/>
                          </w:numPr>
                          <w:tabs>
                            <w:tab w:val="left" w:pos="86"/>
                          </w:tabs>
                          <w:autoSpaceDE w:val="0"/>
                          <w:autoSpaceDN w:val="0"/>
                          <w:spacing w:after="0" w:line="240" w:lineRule="auto"/>
                          <w:ind w:left="0" w:hanging="86"/>
                          <w:rPr>
                            <w:rFonts w:ascii="Times New Roman" w:hAnsi="Times New Roman"/>
                            <w:sz w:val="15"/>
                          </w:rPr>
                        </w:pPr>
                        <w:r>
                          <w:rPr>
                            <w:rFonts w:ascii="Times New Roman" w:hAnsi="Times New Roman"/>
                            <w:spacing w:val="-2"/>
                            <w:sz w:val="15"/>
                          </w:rPr>
                          <w:t>космос</w:t>
                        </w:r>
                      </w:p>
                    </w:txbxContent>
                  </v:textbox>
                </v:shape>
                <v:shape id="Textbox 215" o:spid="_x0000_s1069" type="#_x0000_t202" style="position:absolute;left:12651;top:29183;width:10529;height:6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QXWxAAAANwAAAAPAAAAZHJzL2Rvd25yZXYueG1sRI9Ba8JA&#10;FITvgv9heYI33SgoGl1FikJBKI3pocdn9pksZt+m2a3Gf98tCB6HmfmGWW87W4sbtd44VjAZJyCI&#10;C6cNlwq+8sNoAcIHZI21Y1LwIA/bTb+3xlS7O2d0O4VSRAj7FBVUITSplL6oyKIfu4Y4ehfXWgxR&#10;tqXULd4j3NZymiRzadFwXKiwobeKiuvp1yrYfXO2Nz8f58/skpk8XyZ8nF+VGg663QpEoC68ws/2&#10;u1Ywnczg/0w8AnLzBwAA//8DAFBLAQItABQABgAIAAAAIQDb4fbL7gAAAIUBAAATAAAAAAAAAAAA&#10;AAAAAAAAAABbQ29udGVudF9UeXBlc10ueG1sUEsBAi0AFAAGAAgAAAAhAFr0LFu/AAAAFQEAAAsA&#10;AAAAAAAAAAAAAAAAHwEAAF9yZWxzLy5yZWxzUEsBAi0AFAAGAAgAAAAhAC9VBdbEAAAA3AAAAA8A&#10;AAAAAAAAAAAAAAAABwIAAGRycy9kb3ducmV2LnhtbFBLBQYAAAAAAwADALcAAAD4AgAAAAA=&#10;" filled="f" stroked="f">
                  <v:textbox inset="0,0,0,0">
                    <w:txbxContent>
                      <w:p w14:paraId="2DD27D21" w14:textId="77777777" w:rsidR="00C91C46" w:rsidRDefault="00C91C46" w:rsidP="00F56BD2">
                        <w:pPr>
                          <w:spacing w:after="0" w:line="199" w:lineRule="exact"/>
                          <w:rPr>
                            <w:rFonts w:ascii="Times New Roman" w:hAnsi="Times New Roman"/>
                            <w:b/>
                            <w:sz w:val="18"/>
                          </w:rPr>
                        </w:pPr>
                        <w:r>
                          <w:rPr>
                            <w:rFonts w:ascii="Times New Roman" w:hAnsi="Times New Roman"/>
                            <w:b/>
                            <w:sz w:val="18"/>
                          </w:rPr>
                          <w:t xml:space="preserve">3 </w:t>
                        </w:r>
                        <w:r>
                          <w:rPr>
                            <w:rFonts w:ascii="Times New Roman" w:hAnsi="Times New Roman"/>
                            <w:b/>
                            <w:spacing w:val="-2"/>
                            <w:sz w:val="18"/>
                          </w:rPr>
                          <w:t>хвиля</w:t>
                        </w:r>
                      </w:p>
                      <w:p w14:paraId="052C45C3" w14:textId="77777777" w:rsidR="00F56BD2" w:rsidRPr="00F56BD2" w:rsidRDefault="00C91C46" w:rsidP="00030A38">
                        <w:pPr>
                          <w:widowControl w:val="0"/>
                          <w:numPr>
                            <w:ilvl w:val="0"/>
                            <w:numId w:val="3"/>
                          </w:numPr>
                          <w:tabs>
                            <w:tab w:val="left" w:pos="0"/>
                            <w:tab w:val="left" w:pos="85"/>
                          </w:tabs>
                          <w:autoSpaceDE w:val="0"/>
                          <w:autoSpaceDN w:val="0"/>
                          <w:spacing w:after="0" w:line="237" w:lineRule="auto"/>
                          <w:ind w:hanging="1"/>
                          <w:rPr>
                            <w:rFonts w:ascii="Times New Roman" w:hAnsi="Times New Roman"/>
                            <w:sz w:val="15"/>
                          </w:rPr>
                        </w:pPr>
                        <w:r>
                          <w:rPr>
                            <w:rFonts w:ascii="Times New Roman" w:hAnsi="Times New Roman"/>
                            <w:spacing w:val="-2"/>
                            <w:sz w:val="15"/>
                          </w:rPr>
                          <w:t>електро</w:t>
                        </w:r>
                      </w:p>
                      <w:p w14:paraId="3697CE9B" w14:textId="59AECC5D" w:rsidR="00C91C46" w:rsidRPr="00F56BD2" w:rsidRDefault="00C91C46" w:rsidP="00030A38">
                        <w:pPr>
                          <w:widowControl w:val="0"/>
                          <w:numPr>
                            <w:ilvl w:val="0"/>
                            <w:numId w:val="3"/>
                          </w:numPr>
                          <w:tabs>
                            <w:tab w:val="left" w:pos="0"/>
                            <w:tab w:val="left" w:pos="86"/>
                          </w:tabs>
                          <w:autoSpaceDE w:val="0"/>
                          <w:autoSpaceDN w:val="0"/>
                          <w:spacing w:after="0" w:line="237" w:lineRule="auto"/>
                          <w:ind w:hanging="1"/>
                          <w:rPr>
                            <w:rFonts w:ascii="Times New Roman" w:hAnsi="Times New Roman"/>
                            <w:sz w:val="15"/>
                          </w:rPr>
                        </w:pPr>
                        <w:r>
                          <w:rPr>
                            <w:rFonts w:ascii="Times New Roman" w:hAnsi="Times New Roman"/>
                            <w:spacing w:val="-2"/>
                            <w:sz w:val="15"/>
                          </w:rPr>
                          <w:t>-</w:t>
                        </w:r>
                        <w:r>
                          <w:rPr>
                            <w:rFonts w:ascii="Times New Roman" w:hAnsi="Times New Roman"/>
                            <w:spacing w:val="40"/>
                            <w:sz w:val="15"/>
                          </w:rPr>
                          <w:t xml:space="preserve"> </w:t>
                        </w:r>
                        <w:r>
                          <w:rPr>
                            <w:rFonts w:ascii="Times New Roman" w:hAnsi="Times New Roman"/>
                            <w:spacing w:val="-2"/>
                            <w:sz w:val="15"/>
                          </w:rPr>
                          <w:t>енергія;</w:t>
                        </w:r>
                        <w:r w:rsidR="00F56BD2">
                          <w:rPr>
                            <w:rFonts w:ascii="Times New Roman" w:hAnsi="Times New Roman"/>
                            <w:sz w:val="15"/>
                          </w:rPr>
                          <w:t xml:space="preserve"> </w:t>
                        </w:r>
                        <w:r w:rsidRPr="00F56BD2">
                          <w:rPr>
                            <w:rFonts w:ascii="Times New Roman" w:hAnsi="Times New Roman"/>
                            <w:spacing w:val="-2"/>
                            <w:sz w:val="15"/>
                          </w:rPr>
                          <w:t>хімія;</w:t>
                        </w:r>
                      </w:p>
                      <w:p w14:paraId="78DDD829" w14:textId="77777777" w:rsidR="00C91C46" w:rsidRDefault="00C91C46" w:rsidP="00030A38">
                        <w:pPr>
                          <w:widowControl w:val="0"/>
                          <w:numPr>
                            <w:ilvl w:val="0"/>
                            <w:numId w:val="3"/>
                          </w:numPr>
                          <w:tabs>
                            <w:tab w:val="left" w:pos="86"/>
                          </w:tabs>
                          <w:autoSpaceDE w:val="0"/>
                          <w:autoSpaceDN w:val="0"/>
                          <w:spacing w:after="0" w:line="240" w:lineRule="auto"/>
                          <w:ind w:firstLine="0"/>
                          <w:rPr>
                            <w:rFonts w:ascii="Times New Roman" w:hAnsi="Times New Roman"/>
                            <w:sz w:val="15"/>
                          </w:rPr>
                        </w:pPr>
                        <w:r>
                          <w:rPr>
                            <w:rFonts w:ascii="Times New Roman" w:hAnsi="Times New Roman"/>
                            <w:spacing w:val="-2"/>
                            <w:sz w:val="15"/>
                          </w:rPr>
                          <w:t>двигун</w:t>
                        </w:r>
                        <w:r>
                          <w:rPr>
                            <w:rFonts w:ascii="Times New Roman" w:hAnsi="Times New Roman"/>
                            <w:spacing w:val="40"/>
                            <w:sz w:val="15"/>
                          </w:rPr>
                          <w:t xml:space="preserve"> </w:t>
                        </w:r>
                        <w:r>
                          <w:rPr>
                            <w:rFonts w:ascii="Times New Roman" w:hAnsi="Times New Roman"/>
                            <w:spacing w:val="-2"/>
                            <w:sz w:val="15"/>
                          </w:rPr>
                          <w:t>внутрішнього</w:t>
                        </w:r>
                        <w:r>
                          <w:rPr>
                            <w:rFonts w:ascii="Times New Roman" w:hAnsi="Times New Roman"/>
                            <w:spacing w:val="40"/>
                            <w:sz w:val="15"/>
                          </w:rPr>
                          <w:t xml:space="preserve"> </w:t>
                        </w:r>
                        <w:r>
                          <w:rPr>
                            <w:rFonts w:ascii="Times New Roman" w:hAnsi="Times New Roman"/>
                            <w:spacing w:val="-2"/>
                            <w:sz w:val="15"/>
                          </w:rPr>
                          <w:t>згорання</w:t>
                        </w:r>
                      </w:p>
                    </w:txbxContent>
                  </v:textbox>
                </v:shape>
                <v:shape id="Textbox 216" o:spid="_x0000_s1070" type="#_x0000_t202" style="position:absolute;left:2850;top:37748;width:11906;height:18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5uhxAAAANwAAAAPAAAAZHJzL2Rvd25yZXYueG1sRI9Ba8JA&#10;FITvBf/D8gRvdaOH0EZXEVEQBGmMB4/P7DNZzL6N2VXTf98tFHocZuYbZr7sbSOe1HnjWMFknIAg&#10;Lp02XCk4Fdv3DxA+IGtsHJOCb/KwXAze5php9+KcnsdQiQhhn6GCOoQ2k9KXNVn0Y9cSR+/qOosh&#10;yq6SusNXhNtGTpMklRYNx4UaW1rXVN6OD6tgdeZ8Y+6Hy1d+zU1RfCa8T29KjYb9agYiUB/+w3/t&#10;nVYwnaTweyYeAbn4AQAA//8DAFBLAQItABQABgAIAAAAIQDb4fbL7gAAAIUBAAATAAAAAAAAAAAA&#10;AAAAAAAAAABbQ29udGVudF9UeXBlc10ueG1sUEsBAi0AFAAGAAgAAAAhAFr0LFu/AAAAFQEAAAsA&#10;AAAAAAAAAAAAAAAAHwEAAF9yZWxzLy5yZWxzUEsBAi0AFAAGAAgAAAAhAN+Hm6HEAAAA3AAAAA8A&#10;AAAAAAAAAAAAAAAABwIAAGRycy9kb3ducmV2LnhtbFBLBQYAAAAAAwADALcAAAD4AgAAAAA=&#10;" filled="f" stroked="f">
                  <v:textbox inset="0,0,0,0">
                    <w:txbxContent>
                      <w:p w14:paraId="20462D1A" w14:textId="77777777" w:rsidR="00C91C46" w:rsidRDefault="00C91C46" w:rsidP="00F56BD2">
                        <w:pPr>
                          <w:spacing w:after="0" w:line="198" w:lineRule="exact"/>
                          <w:rPr>
                            <w:rFonts w:ascii="Times New Roman" w:hAnsi="Times New Roman"/>
                            <w:b/>
                            <w:sz w:val="18"/>
                          </w:rPr>
                        </w:pPr>
                        <w:r>
                          <w:rPr>
                            <w:rFonts w:ascii="Times New Roman" w:hAnsi="Times New Roman"/>
                            <w:b/>
                            <w:sz w:val="18"/>
                          </w:rPr>
                          <w:t xml:space="preserve">2 </w:t>
                        </w:r>
                        <w:r>
                          <w:rPr>
                            <w:rFonts w:ascii="Times New Roman" w:hAnsi="Times New Roman"/>
                            <w:b/>
                            <w:spacing w:val="-2"/>
                            <w:sz w:val="18"/>
                          </w:rPr>
                          <w:t>хвиля</w:t>
                        </w:r>
                      </w:p>
                      <w:p w14:paraId="3F3D0D7F" w14:textId="1C4D6C39" w:rsidR="00C91C46" w:rsidRDefault="00C91C46" w:rsidP="00F56BD2">
                        <w:pPr>
                          <w:spacing w:after="0" w:line="237" w:lineRule="auto"/>
                          <w:rPr>
                            <w:rFonts w:ascii="Times New Roman" w:hAnsi="Times New Roman"/>
                            <w:sz w:val="15"/>
                          </w:rPr>
                        </w:pPr>
                        <w:r>
                          <w:rPr>
                            <w:rFonts w:ascii="Times New Roman" w:hAnsi="Times New Roman"/>
                            <w:spacing w:val="-2"/>
                            <w:sz w:val="15"/>
                          </w:rPr>
                          <w:t>паровий</w:t>
                        </w:r>
                        <w:r>
                          <w:rPr>
                            <w:rFonts w:ascii="Times New Roman" w:hAnsi="Times New Roman"/>
                            <w:spacing w:val="40"/>
                            <w:sz w:val="15"/>
                          </w:rPr>
                          <w:t xml:space="preserve"> </w:t>
                        </w:r>
                        <w:r>
                          <w:rPr>
                            <w:rFonts w:ascii="Times New Roman" w:hAnsi="Times New Roman"/>
                            <w:spacing w:val="-2"/>
                            <w:sz w:val="15"/>
                          </w:rPr>
                          <w:t>двигун;</w:t>
                        </w:r>
                      </w:p>
                      <w:p w14:paraId="243B8CD1" w14:textId="77777777" w:rsidR="00C91C46" w:rsidRDefault="00C91C46" w:rsidP="00F56BD2">
                        <w:pPr>
                          <w:widowControl w:val="0"/>
                          <w:tabs>
                            <w:tab w:val="left" w:pos="1208"/>
                          </w:tabs>
                          <w:autoSpaceDE w:val="0"/>
                          <w:autoSpaceDN w:val="0"/>
                          <w:spacing w:after="0" w:line="170" w:lineRule="exact"/>
                          <w:rPr>
                            <w:rFonts w:ascii="Times New Roman" w:hAnsi="Times New Roman"/>
                            <w:sz w:val="15"/>
                          </w:rPr>
                        </w:pPr>
                        <w:r>
                          <w:rPr>
                            <w:rFonts w:ascii="Times New Roman" w:hAnsi="Times New Roman"/>
                            <w:spacing w:val="-2"/>
                            <w:sz w:val="15"/>
                          </w:rPr>
                          <w:t>залізниця;</w:t>
                        </w:r>
                      </w:p>
                      <w:p w14:paraId="1B95F2F0" w14:textId="77777777" w:rsidR="00C91C46" w:rsidRDefault="00C91C46" w:rsidP="00F56BD2">
                        <w:pPr>
                          <w:widowControl w:val="0"/>
                          <w:tabs>
                            <w:tab w:val="left" w:pos="1208"/>
                          </w:tabs>
                          <w:autoSpaceDE w:val="0"/>
                          <w:autoSpaceDN w:val="0"/>
                          <w:spacing w:after="0" w:line="171" w:lineRule="exact"/>
                          <w:rPr>
                            <w:rFonts w:ascii="Times New Roman" w:hAnsi="Times New Roman"/>
                            <w:sz w:val="15"/>
                          </w:rPr>
                        </w:pPr>
                        <w:r>
                          <w:rPr>
                            <w:rFonts w:ascii="Times New Roman" w:hAnsi="Times New Roman"/>
                            <w:spacing w:val="-2"/>
                            <w:sz w:val="15"/>
                          </w:rPr>
                          <w:t>сталь;</w:t>
                        </w:r>
                      </w:p>
                      <w:p w14:paraId="7215B873" w14:textId="77777777" w:rsidR="00F56BD2" w:rsidRDefault="00F56BD2" w:rsidP="00C91C46">
                        <w:pPr>
                          <w:tabs>
                            <w:tab w:val="left" w:pos="1122"/>
                          </w:tabs>
                          <w:spacing w:line="205" w:lineRule="exact"/>
                          <w:ind w:right="112"/>
                          <w:jc w:val="right"/>
                          <w:rPr>
                            <w:rFonts w:ascii="Times New Roman" w:hAnsi="Times New Roman"/>
                            <w:b/>
                            <w:position w:val="-2"/>
                            <w:sz w:val="18"/>
                          </w:rPr>
                        </w:pPr>
                      </w:p>
                      <w:p w14:paraId="1963E3CA" w14:textId="77777777" w:rsidR="00CC4540" w:rsidRDefault="00C91C46" w:rsidP="00CC4540">
                        <w:pPr>
                          <w:tabs>
                            <w:tab w:val="left" w:pos="1122"/>
                          </w:tabs>
                          <w:spacing w:after="0" w:line="205" w:lineRule="exact"/>
                          <w:rPr>
                            <w:rFonts w:ascii="Times New Roman" w:hAnsi="Times New Roman"/>
                            <w:b/>
                            <w:position w:val="-2"/>
                            <w:sz w:val="18"/>
                          </w:rPr>
                        </w:pPr>
                        <w:r>
                          <w:rPr>
                            <w:rFonts w:ascii="Times New Roman" w:hAnsi="Times New Roman"/>
                            <w:b/>
                            <w:position w:val="-2"/>
                            <w:sz w:val="18"/>
                          </w:rPr>
                          <w:t xml:space="preserve">1 </w:t>
                        </w:r>
                        <w:r>
                          <w:rPr>
                            <w:rFonts w:ascii="Times New Roman" w:hAnsi="Times New Roman"/>
                            <w:b/>
                            <w:spacing w:val="-2"/>
                            <w:position w:val="-2"/>
                            <w:sz w:val="18"/>
                          </w:rPr>
                          <w:t>хвиля</w:t>
                        </w:r>
                      </w:p>
                      <w:p w14:paraId="62959FD3" w14:textId="0D7D498A" w:rsidR="00C91C46" w:rsidRDefault="00CC4540" w:rsidP="00CC4540">
                        <w:pPr>
                          <w:tabs>
                            <w:tab w:val="left" w:pos="1122"/>
                          </w:tabs>
                          <w:spacing w:after="0" w:line="205" w:lineRule="exact"/>
                          <w:rPr>
                            <w:rFonts w:ascii="Times New Roman" w:hAnsi="Times New Roman"/>
                            <w:sz w:val="15"/>
                          </w:rPr>
                        </w:pPr>
                        <w:r>
                          <w:rPr>
                            <w:rFonts w:ascii="Times New Roman" w:hAnsi="Times New Roman"/>
                            <w:spacing w:val="-4"/>
                            <w:sz w:val="15"/>
                          </w:rPr>
                          <w:t>-</w:t>
                        </w:r>
                        <w:r w:rsidR="00C91C46">
                          <w:rPr>
                            <w:rFonts w:ascii="Times New Roman" w:hAnsi="Times New Roman"/>
                            <w:spacing w:val="-4"/>
                            <w:sz w:val="15"/>
                          </w:rPr>
                          <w:t>текстиль</w:t>
                        </w:r>
                      </w:p>
                      <w:p w14:paraId="21215C2A" w14:textId="77777777" w:rsidR="00C91C46" w:rsidRDefault="00C91C46" w:rsidP="00CC4540">
                        <w:pPr>
                          <w:widowControl w:val="0"/>
                          <w:numPr>
                            <w:ilvl w:val="0"/>
                            <w:numId w:val="2"/>
                          </w:numPr>
                          <w:tabs>
                            <w:tab w:val="left" w:pos="86"/>
                          </w:tabs>
                          <w:autoSpaceDE w:val="0"/>
                          <w:autoSpaceDN w:val="0"/>
                          <w:spacing w:after="0" w:line="167" w:lineRule="exact"/>
                          <w:ind w:hanging="86"/>
                          <w:rPr>
                            <w:rFonts w:ascii="Times New Roman" w:hAnsi="Times New Roman"/>
                            <w:sz w:val="15"/>
                          </w:rPr>
                        </w:pPr>
                        <w:r>
                          <w:rPr>
                            <w:rFonts w:ascii="Times New Roman" w:hAnsi="Times New Roman"/>
                            <w:spacing w:val="-2"/>
                            <w:sz w:val="15"/>
                          </w:rPr>
                          <w:t>залізо;</w:t>
                        </w:r>
                      </w:p>
                      <w:p w14:paraId="17D96A10" w14:textId="77777777" w:rsidR="00C91C46" w:rsidRDefault="00C91C46" w:rsidP="00CC4540">
                        <w:pPr>
                          <w:widowControl w:val="0"/>
                          <w:numPr>
                            <w:ilvl w:val="0"/>
                            <w:numId w:val="2"/>
                          </w:numPr>
                          <w:tabs>
                            <w:tab w:val="left" w:pos="86"/>
                          </w:tabs>
                          <w:autoSpaceDE w:val="0"/>
                          <w:autoSpaceDN w:val="0"/>
                          <w:spacing w:after="0" w:line="237" w:lineRule="auto"/>
                          <w:ind w:firstLine="0"/>
                          <w:rPr>
                            <w:rFonts w:ascii="Times New Roman" w:hAnsi="Times New Roman"/>
                            <w:sz w:val="15"/>
                          </w:rPr>
                        </w:pPr>
                        <w:r>
                          <w:rPr>
                            <w:rFonts w:ascii="Times New Roman" w:hAnsi="Times New Roman"/>
                            <w:spacing w:val="-2"/>
                            <w:sz w:val="15"/>
                          </w:rPr>
                          <w:t>водяний</w:t>
                        </w:r>
                        <w:r>
                          <w:rPr>
                            <w:rFonts w:ascii="Times New Roman" w:hAnsi="Times New Roman"/>
                            <w:spacing w:val="40"/>
                            <w:sz w:val="15"/>
                          </w:rPr>
                          <w:t xml:space="preserve"> </w:t>
                        </w:r>
                        <w:r>
                          <w:rPr>
                            <w:rFonts w:ascii="Times New Roman" w:hAnsi="Times New Roman"/>
                            <w:spacing w:val="-2"/>
                            <w:sz w:val="15"/>
                          </w:rPr>
                          <w:t>двигун;</w:t>
                        </w:r>
                        <w:r>
                          <w:rPr>
                            <w:rFonts w:ascii="Times New Roman" w:hAnsi="Times New Roman"/>
                            <w:spacing w:val="40"/>
                            <w:sz w:val="15"/>
                          </w:rPr>
                          <w:t xml:space="preserve"> </w:t>
                        </w:r>
                        <w:r>
                          <w:rPr>
                            <w:rFonts w:ascii="Times New Roman" w:hAnsi="Times New Roman"/>
                            <w:spacing w:val="-2"/>
                            <w:sz w:val="15"/>
                          </w:rPr>
                          <w:t>механізація;</w:t>
                        </w:r>
                      </w:p>
                      <w:p w14:paraId="0AC6A123" w14:textId="77777777" w:rsidR="00C91C46" w:rsidRDefault="00C91C46" w:rsidP="00C91C46">
                        <w:pPr>
                          <w:widowControl w:val="0"/>
                          <w:numPr>
                            <w:ilvl w:val="0"/>
                            <w:numId w:val="2"/>
                          </w:numPr>
                          <w:tabs>
                            <w:tab w:val="left" w:pos="86"/>
                          </w:tabs>
                          <w:autoSpaceDE w:val="0"/>
                          <w:autoSpaceDN w:val="0"/>
                          <w:spacing w:before="1" w:after="0" w:line="172" w:lineRule="exact"/>
                          <w:ind w:left="86" w:hanging="86"/>
                          <w:rPr>
                            <w:rFonts w:ascii="Times New Roman" w:hAnsi="Times New Roman"/>
                            <w:sz w:val="15"/>
                          </w:rPr>
                        </w:pPr>
                        <w:r>
                          <w:rPr>
                            <w:rFonts w:ascii="Times New Roman" w:hAnsi="Times New Roman"/>
                            <w:spacing w:val="-2"/>
                            <w:sz w:val="15"/>
                          </w:rPr>
                          <w:t>комерція.</w:t>
                        </w:r>
                      </w:p>
                    </w:txbxContent>
                  </v:textbox>
                </v:shape>
                <w10:anchorlock/>
              </v:group>
            </w:pict>
          </mc:Fallback>
        </mc:AlternateContent>
      </w:r>
    </w:p>
    <w:p w14:paraId="7E55A4C6" w14:textId="5CB4C89B" w:rsidR="00052C66" w:rsidRDefault="00052C66" w:rsidP="00F1240A">
      <w:pPr>
        <w:tabs>
          <w:tab w:val="left" w:pos="7220"/>
        </w:tabs>
        <w:adjustRightInd w:val="0"/>
        <w:snapToGrid w:val="0"/>
        <w:spacing w:after="0" w:line="240" w:lineRule="auto"/>
        <w:ind w:firstLine="567"/>
        <w:jc w:val="both"/>
        <w:rPr>
          <w:rFonts w:ascii="Times New Roman" w:hAnsi="Times New Roman" w:cs="Times New Roman"/>
          <w:sz w:val="20"/>
          <w:szCs w:val="20"/>
        </w:rPr>
      </w:pPr>
      <w:r>
        <w:rPr>
          <w:rFonts w:ascii="Times New Roman" w:hAnsi="Times New Roman" w:cs="Times New Roman"/>
          <w:sz w:val="20"/>
          <w:szCs w:val="20"/>
        </w:rPr>
        <w:t>Рис. 1.</w:t>
      </w:r>
      <w:r w:rsidR="00612D17">
        <w:rPr>
          <w:rFonts w:ascii="Times New Roman" w:hAnsi="Times New Roman" w:cs="Times New Roman"/>
          <w:sz w:val="20"/>
          <w:szCs w:val="20"/>
        </w:rPr>
        <w:t>2</w:t>
      </w:r>
      <w:r>
        <w:rPr>
          <w:rFonts w:ascii="Times New Roman" w:hAnsi="Times New Roman" w:cs="Times New Roman"/>
          <w:sz w:val="20"/>
          <w:szCs w:val="20"/>
        </w:rPr>
        <w:t>. Інноваційні хвилі розвитку зеленої економіки</w:t>
      </w:r>
    </w:p>
    <w:p w14:paraId="56BDDBB6" w14:textId="73A43A18" w:rsidR="00F1240A" w:rsidRPr="00F1240A" w:rsidRDefault="00F1240A" w:rsidP="00F1240A">
      <w:pPr>
        <w:tabs>
          <w:tab w:val="left" w:pos="7220"/>
        </w:tabs>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Концепція сталого розвитку стала теоретичною основою розвитку людства на наступні два десятиліття.</w:t>
      </w:r>
    </w:p>
    <w:p w14:paraId="4CA2C3DC" w14:textId="7D8F3A4B" w:rsidR="00F1240A" w:rsidRPr="00F1240A" w:rsidRDefault="00F1240A" w:rsidP="00F1240A">
      <w:pPr>
        <w:tabs>
          <w:tab w:val="left" w:pos="7220"/>
        </w:tabs>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 xml:space="preserve">Хоча термін </w:t>
      </w:r>
      <w:r w:rsidRPr="00F1240A">
        <w:rPr>
          <w:rFonts w:ascii="Times New Roman" w:hAnsi="Times New Roman" w:cs="Times New Roman"/>
          <w:b/>
          <w:sz w:val="20"/>
          <w:szCs w:val="20"/>
        </w:rPr>
        <w:t xml:space="preserve">«сталий розвиток» </w:t>
      </w:r>
      <w:r w:rsidRPr="00F1240A">
        <w:rPr>
          <w:rFonts w:ascii="Times New Roman" w:hAnsi="Times New Roman" w:cs="Times New Roman"/>
          <w:sz w:val="20"/>
          <w:szCs w:val="20"/>
        </w:rPr>
        <w:t>був</w:t>
      </w:r>
      <w:r w:rsidRPr="00C37F1C">
        <w:rPr>
          <w:rFonts w:ascii="Times New Roman" w:hAnsi="Times New Roman" w:cs="Times New Roman"/>
          <w:sz w:val="20"/>
          <w:szCs w:val="20"/>
        </w:rPr>
        <w:t xml:space="preserve"> </w:t>
      </w:r>
      <w:r w:rsidRPr="00F1240A">
        <w:rPr>
          <w:rFonts w:ascii="Times New Roman" w:hAnsi="Times New Roman" w:cs="Times New Roman"/>
          <w:sz w:val="20"/>
          <w:szCs w:val="20"/>
        </w:rPr>
        <w:t xml:space="preserve">задекларований в опублікованому звіті прем’єр – міністра Норвегії Гро Харлем Брунтланд “Наше спільне майбутнє” у 1987 році, однак світове визнання він отримав на початку ХХІ </w:t>
      </w:r>
      <w:r w:rsidRPr="00F1240A">
        <w:rPr>
          <w:rFonts w:ascii="Times New Roman" w:hAnsi="Times New Roman" w:cs="Times New Roman"/>
          <w:sz w:val="20"/>
          <w:szCs w:val="20"/>
        </w:rPr>
        <w:lastRenderedPageBreak/>
        <w:t>століття. На подальших конференціях у Люцерні (Швейцарія, 1993 р.); Софії (Болгарія, 1995 р.); Орхусі (Данія, 1998 р.), а також у процесі підготовки до п’ятої конференції у Києві (Україна, травень 2003 р.), до інноваційних хвиль (рис. 1.</w:t>
      </w:r>
      <w:r w:rsidR="009C73E7">
        <w:rPr>
          <w:rFonts w:ascii="Times New Roman" w:hAnsi="Times New Roman" w:cs="Times New Roman"/>
          <w:sz w:val="20"/>
          <w:szCs w:val="20"/>
        </w:rPr>
        <w:t>2</w:t>
      </w:r>
      <w:r w:rsidRPr="00F1240A">
        <w:rPr>
          <w:rFonts w:ascii="Times New Roman" w:hAnsi="Times New Roman" w:cs="Times New Roman"/>
          <w:sz w:val="20"/>
          <w:szCs w:val="20"/>
        </w:rPr>
        <w:t xml:space="preserve">). </w:t>
      </w:r>
      <w:r w:rsidRPr="00F1240A">
        <w:rPr>
          <w:rFonts w:ascii="Times New Roman" w:hAnsi="Times New Roman" w:cs="Times New Roman"/>
          <w:b/>
          <w:sz w:val="20"/>
          <w:szCs w:val="20"/>
        </w:rPr>
        <w:t>Перша інноваційна хвиля</w:t>
      </w:r>
      <w:r w:rsidRPr="00F1240A">
        <w:rPr>
          <w:rFonts w:ascii="Times New Roman" w:hAnsi="Times New Roman" w:cs="Times New Roman"/>
          <w:sz w:val="20"/>
          <w:szCs w:val="20"/>
        </w:rPr>
        <w:t xml:space="preserve">, що піднялася в 1785 році, принесла з собою використання заліза, водяного двигуна, механізацію та комерціалізацію. </w:t>
      </w:r>
      <w:r w:rsidRPr="00F1240A">
        <w:rPr>
          <w:rFonts w:ascii="Times New Roman" w:hAnsi="Times New Roman" w:cs="Times New Roman"/>
          <w:b/>
          <w:sz w:val="20"/>
          <w:szCs w:val="20"/>
        </w:rPr>
        <w:t xml:space="preserve">друга хвиля </w:t>
      </w:r>
      <w:r w:rsidRPr="00F1240A">
        <w:rPr>
          <w:rFonts w:ascii="Times New Roman" w:hAnsi="Times New Roman" w:cs="Times New Roman"/>
          <w:sz w:val="20"/>
          <w:szCs w:val="20"/>
        </w:rPr>
        <w:t xml:space="preserve">середини ХІХ сторіччя характеризувалася впровадженням парового двигуна, залізниці, сталеваріння та виробництва текстилю. Наступна хвиля початку ХХ століття була спричинена впровадженням таких інноваційних винаходів, як електроенергія, хімія та двигун внутрішнього згорання. Трансформація системи природокористування ХХ століття була спричинена впровадженням нафтохімії, електроніки, авіації та освоєнням космосу. </w:t>
      </w:r>
      <w:r w:rsidRPr="00F1240A">
        <w:rPr>
          <w:rFonts w:ascii="Times New Roman" w:hAnsi="Times New Roman" w:cs="Times New Roman"/>
          <w:b/>
          <w:sz w:val="20"/>
          <w:szCs w:val="20"/>
        </w:rPr>
        <w:t xml:space="preserve">П’ята інноваційна хвиля </w:t>
      </w:r>
      <w:r w:rsidRPr="00F1240A">
        <w:rPr>
          <w:rFonts w:ascii="Times New Roman" w:hAnsi="Times New Roman" w:cs="Times New Roman"/>
          <w:sz w:val="20"/>
          <w:szCs w:val="20"/>
        </w:rPr>
        <w:t>кінця ХХ століття є інформаційною, що пов’язано з розвитком цифрових мереж, біотехнологій, програмування та інформаційних технологій</w:t>
      </w:r>
      <w:r w:rsidRPr="00C37F1C">
        <w:rPr>
          <w:rFonts w:ascii="Times New Roman" w:hAnsi="Times New Roman" w:cs="Times New Roman"/>
          <w:sz w:val="20"/>
          <w:szCs w:val="20"/>
        </w:rPr>
        <w:t>.</w:t>
      </w:r>
    </w:p>
    <w:p w14:paraId="1D4333BC" w14:textId="73D1FBE9" w:rsidR="00F1240A" w:rsidRPr="00F1240A" w:rsidRDefault="00F1240A" w:rsidP="00F1240A">
      <w:pPr>
        <w:adjustRightInd w:val="0"/>
        <w:snapToGrid w:val="0"/>
        <w:spacing w:after="0" w:line="240" w:lineRule="auto"/>
        <w:ind w:firstLine="567"/>
        <w:jc w:val="both"/>
        <w:rPr>
          <w:rFonts w:ascii="Times New Roman" w:hAnsi="Times New Roman" w:cs="Times New Roman"/>
          <w:b/>
          <w:sz w:val="20"/>
          <w:szCs w:val="20"/>
        </w:rPr>
      </w:pPr>
      <w:r w:rsidRPr="00F1240A">
        <w:rPr>
          <w:rFonts w:ascii="Times New Roman" w:hAnsi="Times New Roman" w:cs="Times New Roman"/>
          <w:sz w:val="20"/>
          <w:szCs w:val="20"/>
        </w:rPr>
        <w:t xml:space="preserve">Наступна, </w:t>
      </w:r>
      <w:r w:rsidRPr="00F1240A">
        <w:rPr>
          <w:rFonts w:ascii="Times New Roman" w:hAnsi="Times New Roman" w:cs="Times New Roman"/>
          <w:b/>
          <w:sz w:val="20"/>
          <w:szCs w:val="20"/>
        </w:rPr>
        <w:t>шоста інноваційна</w:t>
      </w:r>
      <w:r w:rsidRPr="00C37F1C">
        <w:rPr>
          <w:rFonts w:ascii="Times New Roman" w:hAnsi="Times New Roman" w:cs="Times New Roman"/>
          <w:b/>
          <w:sz w:val="20"/>
          <w:szCs w:val="20"/>
        </w:rPr>
        <w:t xml:space="preserve"> </w:t>
      </w:r>
      <w:r w:rsidRPr="00F1240A">
        <w:rPr>
          <w:rFonts w:ascii="Times New Roman" w:hAnsi="Times New Roman" w:cs="Times New Roman"/>
          <w:b/>
          <w:sz w:val="20"/>
          <w:szCs w:val="20"/>
        </w:rPr>
        <w:t>«зелена» хвиля</w:t>
      </w:r>
      <w:r w:rsidRPr="00F1240A">
        <w:rPr>
          <w:rFonts w:ascii="Times New Roman" w:hAnsi="Times New Roman" w:cs="Times New Roman"/>
          <w:sz w:val="20"/>
          <w:szCs w:val="20"/>
        </w:rPr>
        <w:t>, пік якої очікується у 2020 році, пов’язується із сталим розвитком, зростанням ресурсної продуктивності, «зеленої» хімії, індустріальної екології, відновлювальної енергетики та нанотехнологій.</w:t>
      </w:r>
    </w:p>
    <w:p w14:paraId="1802A267" w14:textId="704630C8" w:rsidR="00C42F3A" w:rsidRPr="00F1240A" w:rsidRDefault="00C42F3A" w:rsidP="00C42F3A">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Разом з трансформацією глобального світу змінюються наші уявлення про нього та модифікуються системи цінностей. Цінності особистості, самореалізації, людського здоров’я та життя, соціальної стабільності, збереження природних ресурсів та біорізноманіття вже усвідомлені багатьма лідерами суспільної думки, і їх, безумовно, можна віднести до категорії безпекових. В епоху глобалізаційних трансформацій економіка стала панівною рушійною силою суспільства, а питання безпеки – базовими для визначення напрямів державної політики суспільного розвитку.</w:t>
      </w:r>
    </w:p>
    <w:p w14:paraId="381D0C2E" w14:textId="4FCA6230" w:rsidR="00C42F3A" w:rsidRPr="00F1240A" w:rsidRDefault="00C42F3A" w:rsidP="00C42F3A">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Світова фінансово-економічна криза 2008 р. уповільнила зростання демократичних країн «золотого мільярда» та пришвидшила економічний розвиток таких ресурсних країн, як Китай, Індія, Бразилія, Росія та деяких інших.</w:t>
      </w:r>
    </w:p>
    <w:p w14:paraId="4D69147B" w14:textId="2225BD41" w:rsidR="00C42F3A" w:rsidRPr="00F1240A" w:rsidRDefault="00C42F3A" w:rsidP="00C42F3A">
      <w:pPr>
        <w:adjustRightInd w:val="0"/>
        <w:snapToGrid w:val="0"/>
        <w:spacing w:after="0" w:line="240" w:lineRule="auto"/>
        <w:ind w:firstLine="284"/>
        <w:jc w:val="both"/>
        <w:rPr>
          <w:rFonts w:ascii="Times New Roman" w:hAnsi="Times New Roman" w:cs="Times New Roman"/>
          <w:sz w:val="20"/>
          <w:szCs w:val="20"/>
        </w:rPr>
      </w:pPr>
      <w:r w:rsidRPr="00F1240A">
        <w:rPr>
          <w:rFonts w:ascii="Times New Roman" w:hAnsi="Times New Roman" w:cs="Times New Roman"/>
          <w:sz w:val="20"/>
          <w:szCs w:val="20"/>
        </w:rPr>
        <w:t>Останнім часом в експертному середовищі дедалі частіше обговорюють такі загрози безпеці розвитку, як проблеми забезпечення водою, продовольством та енергією, поступово проголошується необхідність докорінних змін світової економічної системи.</w:t>
      </w:r>
    </w:p>
    <w:p w14:paraId="1E0B18DE" w14:textId="16F22EE0" w:rsidR="00C553CC" w:rsidRPr="00F1240A" w:rsidRDefault="00C553CC"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З ініціативою глобальних змін виступила Організація Об’єднаних Націй, яка у 2009 р. започаткувала програму Ініціатива «зеленої» економіки (</w:t>
      </w:r>
      <w:r w:rsidRPr="00F1240A">
        <w:rPr>
          <w:rFonts w:ascii="Times New Roman" w:hAnsi="Times New Roman" w:cs="Times New Roman"/>
          <w:i/>
          <w:sz w:val="20"/>
          <w:szCs w:val="20"/>
        </w:rPr>
        <w:t>Green Economy Initiative</w:t>
      </w:r>
      <w:r w:rsidRPr="00F1240A">
        <w:rPr>
          <w:rFonts w:ascii="Times New Roman" w:hAnsi="Times New Roman" w:cs="Times New Roman"/>
          <w:sz w:val="20"/>
          <w:szCs w:val="20"/>
        </w:rPr>
        <w:t xml:space="preserve">). На думку </w:t>
      </w:r>
      <w:r w:rsidRPr="00F1240A">
        <w:rPr>
          <w:rFonts w:ascii="Times New Roman" w:hAnsi="Times New Roman" w:cs="Times New Roman"/>
          <w:b/>
          <w:sz w:val="20"/>
          <w:szCs w:val="20"/>
        </w:rPr>
        <w:t xml:space="preserve">генерального секретаря </w:t>
      </w:r>
      <w:r w:rsidR="00821F04" w:rsidRPr="00F1240A">
        <w:rPr>
          <w:rFonts w:ascii="Times New Roman" w:hAnsi="Times New Roman" w:cs="Times New Roman"/>
          <w:b/>
          <w:sz w:val="20"/>
          <w:szCs w:val="20"/>
        </w:rPr>
        <w:t>ООН</w:t>
      </w:r>
      <w:r w:rsidRPr="00F1240A">
        <w:rPr>
          <w:rFonts w:ascii="Times New Roman" w:hAnsi="Times New Roman" w:cs="Times New Roman"/>
          <w:b/>
          <w:sz w:val="20"/>
          <w:szCs w:val="20"/>
        </w:rPr>
        <w:t xml:space="preserve"> Пан гі Муна</w:t>
      </w:r>
      <w:r w:rsidRPr="00F1240A">
        <w:rPr>
          <w:rFonts w:ascii="Times New Roman" w:hAnsi="Times New Roman" w:cs="Times New Roman"/>
          <w:sz w:val="20"/>
          <w:szCs w:val="20"/>
        </w:rPr>
        <w:t>, запровадження принципів «зеленої» економіки може стати розв’язанням проблем глобальної економічної кризи і кліматичних змін.</w:t>
      </w:r>
    </w:p>
    <w:p w14:paraId="3C11DB4E" w14:textId="53F5325D" w:rsidR="00C553CC" w:rsidRPr="00F1240A" w:rsidRDefault="00C553CC" w:rsidP="00D75579">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Для протидії зміні клімату потрібна енергетична революція, що має супроводжуватися розвитком інфраструктури із запровадженням відновлювальних джерел енергії. Розвиток такої інфраструктури супроводжуватиметься створенням нових робочих місць і підвищить</w:t>
      </w:r>
      <w:r w:rsidR="00D75579" w:rsidRPr="00C37F1C">
        <w:rPr>
          <w:rFonts w:ascii="Times New Roman" w:hAnsi="Times New Roman" w:cs="Times New Roman"/>
          <w:sz w:val="20"/>
          <w:szCs w:val="20"/>
        </w:rPr>
        <w:t xml:space="preserve"> </w:t>
      </w:r>
      <w:r w:rsidRPr="00F1240A">
        <w:rPr>
          <w:rFonts w:ascii="Times New Roman" w:hAnsi="Times New Roman" w:cs="Times New Roman"/>
          <w:sz w:val="20"/>
          <w:szCs w:val="20"/>
        </w:rPr>
        <w:t xml:space="preserve">рівень </w:t>
      </w:r>
      <w:r w:rsidRPr="00F1240A">
        <w:rPr>
          <w:rFonts w:ascii="Times New Roman" w:hAnsi="Times New Roman" w:cs="Times New Roman"/>
          <w:sz w:val="20"/>
          <w:szCs w:val="20"/>
        </w:rPr>
        <w:lastRenderedPageBreak/>
        <w:t>екологічної безпеки функціонування економіки. Зазначене може стати не лише запорукою збереження чистого довкілля, а й ефективним способом розбудови нової економіки .</w:t>
      </w:r>
    </w:p>
    <w:p w14:paraId="14171A01" w14:textId="30D00882" w:rsidR="00C553CC" w:rsidRPr="00F1240A" w:rsidRDefault="00C553CC"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 xml:space="preserve">Ініціатива із «зеленої» економіки, упроваджувана </w:t>
      </w:r>
      <w:r w:rsidRPr="00F1240A">
        <w:rPr>
          <w:rFonts w:ascii="Times New Roman" w:hAnsi="Times New Roman" w:cs="Times New Roman"/>
          <w:b/>
          <w:i/>
          <w:sz w:val="20"/>
          <w:szCs w:val="20"/>
        </w:rPr>
        <w:t xml:space="preserve">UNEP </w:t>
      </w:r>
      <w:r w:rsidRPr="00F1240A">
        <w:rPr>
          <w:rFonts w:ascii="Times New Roman" w:hAnsi="Times New Roman" w:cs="Times New Roman"/>
          <w:sz w:val="20"/>
          <w:szCs w:val="20"/>
        </w:rPr>
        <w:t>(Програма ООН з охорони довкілля), націлена на допомогу урядам у формуванні й зосередженні політики та процесів інвестування на «зелених» секторах розвитку, зокрема</w:t>
      </w:r>
    </w:p>
    <w:p w14:paraId="554D4399" w14:textId="70B7D292" w:rsidR="00C553CC" w:rsidRPr="00F1240A" w:rsidRDefault="00C553CC"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«чистих» технологіях, відновлюваній енергетиці, водопостачанні, транспорті, управлінні відходами, «зеленому» будівництві, органічному сільському господарстві. Водночас вона концентрує зусилля й на стимулюванні економічного розвитку, створенні робочих місць і подоланні бідності, скороченні викидів парникових газів, ощадливішому використанні природних ресурсів і зменшенні обсягів відходів. Розвиток сільського господарства є одним з наріжних каменів концепції «зеленої» економіки, оскільки впливає на різні, пов’язані зі сталим розвитком, сфери життя. Нова економічна стратегія, запропонована ООН, передбачає докорінну трансформацію природокористування, промисловості та свідомості людей, виходячи поза межі постіндустріальної економіки .</w:t>
      </w:r>
    </w:p>
    <w:p w14:paraId="10271702" w14:textId="05A2FC96" w:rsidR="00C553CC" w:rsidRPr="00F1240A" w:rsidRDefault="00C553CC"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 xml:space="preserve">Якщо навчитися розуміти та використовувати довершеність природи, її економічність і структурну простоту, враховувати функціональність і логіку екосистем, можна досягти результатів, що суттєво відрізнятимуться від результатів масштабної </w:t>
      </w:r>
      <w:r w:rsidRPr="00F1240A">
        <w:rPr>
          <w:rFonts w:ascii="Times New Roman" w:hAnsi="Times New Roman" w:cs="Times New Roman"/>
          <w:b/>
          <w:sz w:val="20"/>
          <w:szCs w:val="20"/>
        </w:rPr>
        <w:t>промислової глобалізації</w:t>
      </w:r>
      <w:r w:rsidRPr="00F1240A">
        <w:rPr>
          <w:rFonts w:ascii="Times New Roman" w:hAnsi="Times New Roman" w:cs="Times New Roman"/>
          <w:sz w:val="20"/>
          <w:szCs w:val="20"/>
        </w:rPr>
        <w:t>.</w:t>
      </w:r>
    </w:p>
    <w:p w14:paraId="0B139C60" w14:textId="5C760599" w:rsidR="002A056A" w:rsidRPr="00F1240A" w:rsidRDefault="00C553CC" w:rsidP="00E0118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Скептики стверджують, що моделювання на основі природних екосистем не завжди буде ефективним. Проте насправді чисельні екосистеми є прикладом</w:t>
      </w:r>
      <w:r w:rsidR="00E0118B">
        <w:rPr>
          <w:rFonts w:ascii="Times New Roman" w:hAnsi="Times New Roman" w:cs="Times New Roman"/>
          <w:sz w:val="20"/>
          <w:szCs w:val="20"/>
        </w:rPr>
        <w:t xml:space="preserve"> </w:t>
      </w:r>
      <w:r w:rsidR="002A056A" w:rsidRPr="00F1240A">
        <w:rPr>
          <w:rFonts w:ascii="Times New Roman" w:hAnsi="Times New Roman" w:cs="Times New Roman"/>
          <w:sz w:val="20"/>
          <w:szCs w:val="20"/>
        </w:rPr>
        <w:t>найефективніших</w:t>
      </w:r>
      <w:r w:rsidR="009C2BC3">
        <w:rPr>
          <w:rFonts w:ascii="Times New Roman" w:hAnsi="Times New Roman" w:cs="Times New Roman"/>
          <w:sz w:val="20"/>
          <w:szCs w:val="20"/>
        </w:rPr>
        <w:t xml:space="preserve"> </w:t>
      </w:r>
      <w:r w:rsidR="002A056A" w:rsidRPr="00F1240A">
        <w:rPr>
          <w:rFonts w:ascii="Times New Roman" w:hAnsi="Times New Roman" w:cs="Times New Roman"/>
          <w:sz w:val="20"/>
          <w:szCs w:val="20"/>
        </w:rPr>
        <w:t>експлуатаційних моделей виробництва та споживання, при цьому забезпечення всіх їхніх потреб відбувається за рахунок того, що «знаходиться поруч». Перетворення поживних речовин та енергії з одного виду в інший у безперервному циклі за законами фізики має використовуватися і в промисловому контексті. Подолання соціально-економічного занепаду сьогодення й перетворення чинної економічної системи на систему, що пропагує життя і стабільність за умови використання доступних ресурсів, можливе за допомогою відповідних методів, які пропонують незліченні можливості для навчання та пристосування до умов, що постійно змінюються. Така трансформація спрямована, насамперед, на задоволення основних потреб людства, формування певних спільнот, виховання почуття відповідальності, створення робочих місць, допомогу в отриманні прибутку з одночасним розв’язанням проблем соціально-</w:t>
      </w:r>
    </w:p>
    <w:p w14:paraId="0A62BD7C" w14:textId="66936293" w:rsidR="002A056A" w:rsidRPr="00F1240A" w:rsidRDefault="002A056A"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економічного характеру. Жоден з тих, хто сьогодні є у виграші на наявному ринку, зокрема індустріальні гіганти, не ризикне вкладати гроші в недосліджений продукт, особливо під час рецесії. Якщо гравці топ-бізнесу вирішать інвестувати у виробництво пристрою з гарантованим прибутковим потенціалом, чому вони повинні пропагувати ще й фінансування досліджень чи санкціонувати інвестиції, які цей прибутковий потенціал підриватимуть.</w:t>
      </w:r>
    </w:p>
    <w:p w14:paraId="090BF0C7" w14:textId="20EE0980" w:rsidR="002A056A" w:rsidRPr="00F1240A" w:rsidRDefault="002A056A"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lastRenderedPageBreak/>
        <w:t xml:space="preserve">Важливою </w:t>
      </w:r>
      <w:r w:rsidRPr="00F1240A">
        <w:rPr>
          <w:rFonts w:ascii="Times New Roman" w:hAnsi="Times New Roman" w:cs="Times New Roman"/>
          <w:b/>
          <w:sz w:val="20"/>
          <w:szCs w:val="20"/>
        </w:rPr>
        <w:t xml:space="preserve">особливістю «зеленої» економіки </w:t>
      </w:r>
      <w:r w:rsidRPr="00F1240A">
        <w:rPr>
          <w:rFonts w:ascii="Times New Roman" w:hAnsi="Times New Roman" w:cs="Times New Roman"/>
          <w:sz w:val="20"/>
          <w:szCs w:val="20"/>
        </w:rPr>
        <w:t>є установка на підтримання ріноманітності систем, у яких «зелені» критерії діють як фільтр для перевірки системи на справедливість і стійкість. При цьому кожна така система має щось запропонувати світу. Концепція спрямована на поліпшення глобального управління через систему демократичних інститутів досягнення сталого розвитку й реалізації прав і гідності людини в усьому світі.</w:t>
      </w:r>
    </w:p>
    <w:p w14:paraId="732A4B8F" w14:textId="4A3D08BA" w:rsidR="008739B4" w:rsidRPr="00F1240A" w:rsidRDefault="008739B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до процесу „довкілля для Європи” долучилися всі країни Європи, Північної Америки, Кавказу та Центральної Азії, міжнародні організації та інститути, включаючи Європейську Комісію, ЄЕК ООН, Екологічну програму ООН (ЮНЕП), Європейське регіональне представництво ВООЗ (ВООЗ/ЄВРО), Організацію з економічного співробітництва та розвитку (ОЕСР), Раду Європи, Організацію з безпеки та співробітництва у Європі (ОБСЄ), Світовий банк, Європейський банк реконструкції та розвитку (ЄБРР), Регіональний екологічний центр (РЕЦ) для Центральної та Східної Європи, організації громадянського суспільства та інші інституції.</w:t>
      </w:r>
    </w:p>
    <w:p w14:paraId="38A19D31" w14:textId="77777777" w:rsidR="008739B4" w:rsidRPr="00F1240A" w:rsidRDefault="008739B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Дефініція сталого розвитку включає дві визначальні ідеї:</w:t>
      </w:r>
    </w:p>
    <w:p w14:paraId="2B183E8A" w14:textId="22849426" w:rsidR="008739B4" w:rsidRPr="00F1240A" w:rsidRDefault="008739B4" w:rsidP="00030A38">
      <w:pPr>
        <w:numPr>
          <w:ilvl w:val="0"/>
          <w:numId w:val="8"/>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задоволення потреб, зокрема першочергових, необхідних для існування найбільших прошарків населення;</w:t>
      </w:r>
    </w:p>
    <w:p w14:paraId="5C23F086" w14:textId="4EA5F6C3" w:rsidR="008739B4" w:rsidRPr="00F1240A" w:rsidRDefault="008739B4" w:rsidP="00030A38">
      <w:pPr>
        <w:numPr>
          <w:ilvl w:val="0"/>
          <w:numId w:val="8"/>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необхідність обмежень, що зумовлено здатністю навколишнього середовища задовольняти сьогоднішні й майбутні потреби.</w:t>
      </w:r>
    </w:p>
    <w:p w14:paraId="69CF2DF4" w14:textId="3C204029" w:rsidR="008739B4" w:rsidRPr="00F1240A" w:rsidRDefault="008739B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Ідеться про розвиток у межах господарської (екологічної) ємності природного середовища, що не спричиняє незворотних змін у природному середовищі і не створює загрози для тривалого існування людини.</w:t>
      </w:r>
    </w:p>
    <w:p w14:paraId="4C22CB59" w14:textId="48B7B030" w:rsidR="008739B4" w:rsidRPr="00F1240A" w:rsidRDefault="008739B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Сталий розвиток пов’язує турботу про пропускну здатність природної екосистеми із соціальними проблемами, з якими стикається людство. Ще в 1970их роках термін «сталість» використовувався для опису економіки, яка перебуває в рівновазі з основними екологічними системами. Концепція сталого розвитку часто розділялася на три складники: екологічну, економічну та соціально-політичну сталість. Останнім часом було висловлене припущення про необхідність зробити «культуру» четвертим складником сталості1.</w:t>
      </w:r>
    </w:p>
    <w:p w14:paraId="1A4CC72A" w14:textId="6E9276D4" w:rsidR="008739B4" w:rsidRPr="00F1240A" w:rsidRDefault="008739B4" w:rsidP="0044505E">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Сталий розвиток – це керований розвиток. Основою його керованості є системний підхід та сучасні інформаційні технології, які дозволяють дуже швидко моделювати різні варіанти напрямків розвитку, з високою точністю прогнозувати їхні результати та вибирати оптимальний2.</w:t>
      </w:r>
    </w:p>
    <w:p w14:paraId="0E814371" w14:textId="77777777" w:rsidR="008739B4" w:rsidRPr="00F1240A" w:rsidRDefault="008739B4" w:rsidP="005626F6">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Реалізація цих постулатів дозволить забезпечити:</w:t>
      </w:r>
    </w:p>
    <w:p w14:paraId="10050DD6" w14:textId="108105D9" w:rsidR="008739B4" w:rsidRPr="00F1240A" w:rsidRDefault="008739B4" w:rsidP="00030A38">
      <w:pPr>
        <w:numPr>
          <w:ilvl w:val="0"/>
          <w:numId w:val="7"/>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гармонізацію</w:t>
      </w:r>
      <w:r w:rsidR="009C2BC3">
        <w:rPr>
          <w:rFonts w:ascii="Times New Roman" w:hAnsi="Times New Roman" w:cs="Times New Roman"/>
          <w:sz w:val="20"/>
          <w:szCs w:val="20"/>
        </w:rPr>
        <w:t xml:space="preserve"> </w:t>
      </w:r>
      <w:r w:rsidRPr="00F1240A">
        <w:rPr>
          <w:rFonts w:ascii="Times New Roman" w:hAnsi="Times New Roman" w:cs="Times New Roman"/>
          <w:sz w:val="20"/>
          <w:szCs w:val="20"/>
        </w:rPr>
        <w:t>співіснування людини і природи;</w:t>
      </w:r>
    </w:p>
    <w:p w14:paraId="2CF07EAB" w14:textId="6A64E920" w:rsidR="008739B4" w:rsidRPr="00F1240A" w:rsidRDefault="008739B4" w:rsidP="00030A38">
      <w:pPr>
        <w:numPr>
          <w:ilvl w:val="0"/>
          <w:numId w:val="7"/>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реалізацію права на справедливе задоволення потреб і рівність можливостей розвитку сьогоднішнього і майбутнього поколінь;</w:t>
      </w:r>
    </w:p>
    <w:p w14:paraId="199EB6A4" w14:textId="7F268F8B" w:rsidR="005626F6" w:rsidRPr="00F1240A" w:rsidRDefault="008739B4" w:rsidP="00030A38">
      <w:pPr>
        <w:numPr>
          <w:ilvl w:val="0"/>
          <w:numId w:val="7"/>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невід'ємність захисту навколишнього природного середовища під час розвитку суспільства.</w:t>
      </w:r>
    </w:p>
    <w:p w14:paraId="5E38EEA1" w14:textId="66F206E9" w:rsidR="008739B4" w:rsidRPr="00821F04" w:rsidRDefault="008739B4" w:rsidP="00821F04">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 xml:space="preserve">Порядок денний на XXI століття увів поняття “національна стратегія сталого розвитку” як засіб інтеграції економічних, соціальних і екологічних </w:t>
      </w:r>
      <w:r w:rsidRPr="00F1240A">
        <w:rPr>
          <w:rFonts w:ascii="Times New Roman" w:hAnsi="Times New Roman" w:cs="Times New Roman"/>
          <w:sz w:val="20"/>
          <w:szCs w:val="20"/>
        </w:rPr>
        <w:lastRenderedPageBreak/>
        <w:t>цілей для реалізації завдань з розвитку держав у національних і міжнародних інтересах. Головна ідея концепції  сталого  розвитку  згідно  з</w:t>
      </w:r>
      <w:r w:rsidR="002F5B76" w:rsidRPr="00C37F1C">
        <w:rPr>
          <w:rFonts w:ascii="Times New Roman" w:hAnsi="Times New Roman" w:cs="Times New Roman"/>
          <w:sz w:val="20"/>
          <w:szCs w:val="20"/>
        </w:rPr>
        <w:t xml:space="preserve"> </w:t>
      </w:r>
      <w:r w:rsidRPr="00F1240A">
        <w:rPr>
          <w:rFonts w:ascii="Times New Roman" w:hAnsi="Times New Roman" w:cs="Times New Roman"/>
          <w:sz w:val="20"/>
          <w:szCs w:val="20"/>
        </w:rPr>
        <w:t>«Порядком денним на ХХІ століття», прийнятої Конференцією ООН з навколишнього середовища і розвитку в Ріоде-Жанейро в 1992 році, полягала в затвердженні головного принципу політики і дій держав-членів ООН  –</w:t>
      </w:r>
      <w:r w:rsidR="00821F04">
        <w:rPr>
          <w:rFonts w:ascii="Times New Roman" w:hAnsi="Times New Roman" w:cs="Times New Roman"/>
          <w:sz w:val="20"/>
          <w:szCs w:val="20"/>
        </w:rPr>
        <w:t xml:space="preserve"> </w:t>
      </w:r>
      <w:r w:rsidRPr="00F1240A">
        <w:rPr>
          <w:rFonts w:ascii="Times New Roman" w:hAnsi="Times New Roman" w:cs="Times New Roman"/>
          <w:b/>
          <w:bCs/>
          <w:i/>
          <w:iCs/>
          <w:sz w:val="20"/>
          <w:szCs w:val="20"/>
        </w:rPr>
        <w:t>«задоволення потреб сучасного часу не повинно підривати можливостей майбутніх поколінь задовольняти власні потреби»</w:t>
      </w:r>
      <w:r w:rsidRPr="00F1240A">
        <w:rPr>
          <w:rFonts w:ascii="Times New Roman" w:hAnsi="Times New Roman" w:cs="Times New Roman"/>
          <w:bCs/>
          <w:iCs/>
          <w:sz w:val="20"/>
          <w:szCs w:val="20"/>
        </w:rPr>
        <w:t>.</w:t>
      </w:r>
    </w:p>
    <w:p w14:paraId="7174CB09" w14:textId="16179490" w:rsidR="00B56384" w:rsidRPr="00F1240A" w:rsidRDefault="008739B4" w:rsidP="002F5B76">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Незважаючи на те, що згадана концепція отримала визнання на міжнародному рівні ще з початку 1980-х років, а завдання впровадження стратегій сталого розвитку задеклароване в Декларації тисячоліття, схваленій у 2002 році на Всесвітньому саміті зі сталого розвитку у Йоганнесбурзі, є складнощі з впровадженням таких стратегій</w:t>
      </w:r>
      <w:r w:rsidR="002F5B76" w:rsidRPr="00C37F1C">
        <w:rPr>
          <w:rFonts w:ascii="Times New Roman" w:hAnsi="Times New Roman" w:cs="Times New Roman"/>
          <w:sz w:val="20"/>
          <w:szCs w:val="20"/>
        </w:rPr>
        <w:t xml:space="preserve"> </w:t>
      </w:r>
      <w:r w:rsidR="00B56384" w:rsidRPr="00F1240A">
        <w:rPr>
          <w:rFonts w:ascii="Times New Roman" w:hAnsi="Times New Roman" w:cs="Times New Roman"/>
          <w:sz w:val="20"/>
          <w:szCs w:val="20"/>
        </w:rPr>
        <w:t>на національних рівнях. Згідно з національними доповідями, отриманими від урядів, більш ніж 100 країн розробили свої стратегії, зміст і ефективність яких мають великі розбіжності.</w:t>
      </w:r>
    </w:p>
    <w:p w14:paraId="524C00A7" w14:textId="4A809EF2"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На сьогодні спостерігаються тенденції до глибокого перетворення світового господарства і міжнародних економічних відносин під впливом усвідомлення глобальних проблем, серед яких однією з найгостріших стала екологічна проблема, адже саме вона визначає перспективи виживання людства. Як результат – зростання актуальності й необхідності формування докорінно зміненої, революційної стратегії розвитку як для окремої країни, так і для світового співтовариства загалом.</w:t>
      </w:r>
    </w:p>
    <w:p w14:paraId="5A62FEE8" w14:textId="0A5EB607"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У доповіді Генерального секретаря ООН “Здійснення Порядку денного на XXI століття” зазначається, що одним із чинників, який зумовив недостатній прогрес у сфері сталого розвитку, був брак ресурсів, і спроби за минуле десятиліття сприяти йому і зупинити деградацію навколишнього середовища в цілому не були ефективними. Світове навколишнє середовище, як і раніше, залишається надто нестійким і вразливим, а чинні заходи з його збереження дуже неефективні.</w:t>
      </w:r>
    </w:p>
    <w:p w14:paraId="22D9F98D" w14:textId="6C813FD4"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Есперти застерігають, що надто мізерні ресурси, відсутність політичної волі, розрізнені та нескоординовані дії, нераціональні структури виробництва і споживання підривають зусилля щодо здійснення сталого розвитку, тобто розвитку, що забезпечується здатністю природних ресурсів і екосистем задовольняти сучасні й майбутні потреби. Водночас у часовому проміжку між самітами в Ріоде-Жанейро та Йоганнесбурзі були досягнуті й певні позитивні результати щодо вдосконалення інституційної структури й управління сталим розвитком на глобальному рівні та розв’язання проблем соціального розвитку і прав людини. Залучення громадськості та приватного сектору сприяло скороченню масштабів забруднення довкілля і зниженню темпів деградації екосистем.</w:t>
      </w:r>
    </w:p>
    <w:p w14:paraId="72EBA8F1" w14:textId="7104234D" w:rsidR="00B56384" w:rsidRPr="00F1240A" w:rsidRDefault="00B56384" w:rsidP="00207C4E">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 xml:space="preserve">Серед успіхів, досягнутих у двадцятирічний період, треба також назвати значні зрушення у сфері регуляторної діяльності з охорони навколишнього середовища на глобальному та національному рівнях. Міжнародна спільнота прийняла значну кількість декларацій, конвенцій, угод, які визначили напрями </w:t>
      </w:r>
      <w:r w:rsidRPr="00F1240A">
        <w:rPr>
          <w:rFonts w:ascii="Times New Roman" w:hAnsi="Times New Roman" w:cs="Times New Roman"/>
          <w:sz w:val="20"/>
          <w:szCs w:val="20"/>
        </w:rPr>
        <w:lastRenderedPageBreak/>
        <w:t>подальшої екологічної політики. До головних з них належать: Рамкова конвенція ООН про зміну клімату, Кіотський протокол, Конвенція про біологічне різноманіття, Конвенція про боротьбу з опустелюванням тощо. Хоча їхня реалізація не набрала очікуваної сили і поки що вони мають здебільшого рекомендаційний характер, проте в них вже задекларовані глобальні виклики та намічені шляхи глобальної</w:t>
      </w:r>
      <w:r w:rsidR="00207C4E" w:rsidRPr="00F1240A">
        <w:rPr>
          <w:rFonts w:ascii="Times New Roman" w:hAnsi="Times New Roman" w:cs="Times New Roman"/>
          <w:sz w:val="20"/>
          <w:szCs w:val="20"/>
        </w:rPr>
        <w:t xml:space="preserve"> </w:t>
      </w:r>
      <w:r w:rsidRPr="00F1240A">
        <w:rPr>
          <w:rFonts w:ascii="Times New Roman" w:hAnsi="Times New Roman" w:cs="Times New Roman"/>
          <w:sz w:val="20"/>
          <w:szCs w:val="20"/>
        </w:rPr>
        <w:t>терапії. Подальший прогрес у цій сфері залежить від результативності в консолідації й координації зусиль, створення глобальних і регіональних систем моніторингу, забезпечення фінансовими ресурсами.</w:t>
      </w:r>
    </w:p>
    <w:p w14:paraId="55BD2B72" w14:textId="7CC72194"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Підсумки  головних  конференцій ООН, що відбулися, починаючи з 1992 року, стали основою для цілей, виголошених Декларацією Тисячоліття ООН. Третя конференція ООН з питань найменш розвинених країн (Брюссель, 2000 р.) і Сьома конференція сторін Рамкової конвенції із змін клімату (Маракеш, 2001 р.), Паризька Угода (2016 р.) та інші зробили подальші важливі кроки у сфері сталого розвитку.</w:t>
      </w:r>
    </w:p>
    <w:p w14:paraId="5538A508" w14:textId="1F0B0144"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У червні 2001 року Європейська Рада ООН прийняла Стратегію сталого розвитку Європейського Союзу. Як допопвнення до цієї події в багатьох країнах Європейського Союзу та світу було прийнято національні стратегічні програми дій у рамках загальних напрямів сталого розвитку, зважаючи на національні пріоритети та специфіку національних умов розвитку.</w:t>
      </w:r>
    </w:p>
    <w:p w14:paraId="791FFDF8" w14:textId="1ACAA347"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Вищезазначені  процеси  належать до важливих блоків Плану дій Всесвітнього саміту. Головним завданням Саміту в Йоганнесбурзі (2012 р.) було надати новий імпульс політичним зобов’язанням та рішучості здійснити план дій щодо сталого розвитку шляхом нових ініціатив, які є практичними й партнерськими по суті.</w:t>
      </w:r>
    </w:p>
    <w:p w14:paraId="659D0895" w14:textId="38DF4DCA" w:rsidR="00B56384" w:rsidRPr="00F1240A" w:rsidRDefault="00B56384" w:rsidP="00624042">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Отже, за оцінками міжнародних експертів, за двадцять років після Ріо</w:t>
      </w:r>
      <w:r w:rsidR="00624042" w:rsidRPr="00C37F1C">
        <w:rPr>
          <w:rFonts w:ascii="Times New Roman" w:hAnsi="Times New Roman" w:cs="Times New Roman"/>
          <w:sz w:val="20"/>
          <w:szCs w:val="20"/>
        </w:rPr>
        <w:t xml:space="preserve"> </w:t>
      </w:r>
      <w:r w:rsidRPr="00F1240A">
        <w:rPr>
          <w:rFonts w:ascii="Times New Roman" w:hAnsi="Times New Roman" w:cs="Times New Roman"/>
          <w:sz w:val="20"/>
          <w:szCs w:val="20"/>
        </w:rPr>
        <w:t>з'явилися нові вимоги і виклики, обумовлені  глобалізацією,  революцією в галузі інформаційно-комунікаційних технологій та широким розповсюдженням нових загроз. Проте сталий розвиток залишається життєздатною альтернативою та довготерміновою перспективою, яка і сьогодні не втратила своєї сили.</w:t>
      </w:r>
    </w:p>
    <w:p w14:paraId="545F38CF" w14:textId="52C61693"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Водночас за останні десятиріччя довкілля отримало небувале в історії цивілізації навантаження, зумовлене чотирьохкратним зростанням чисельності населення планети та двадцятикратним збільшенням обсягів світового виробництва. Як наслідок, відбуваються природні катаклізми, зміни клімату, погіршення якості ґрунтів, повітря та води.</w:t>
      </w:r>
    </w:p>
    <w:p w14:paraId="641340A1" w14:textId="5103F862"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b/>
          <w:sz w:val="20"/>
          <w:szCs w:val="20"/>
        </w:rPr>
        <w:t xml:space="preserve">концепція «зеленої» економіки. </w:t>
      </w:r>
      <w:r w:rsidRPr="00F1240A">
        <w:rPr>
          <w:rFonts w:ascii="Times New Roman" w:hAnsi="Times New Roman" w:cs="Times New Roman"/>
          <w:sz w:val="20"/>
          <w:szCs w:val="20"/>
        </w:rPr>
        <w:t>На початку XXІ століття більшість промислово розвинених країн світу зіткнулися з екологічними проблемами, які примусили зробити вибір: або продовжувати виснаження та забруднення природних ресурсів, або обрати шлях, який би як задовольняв сьогоденні потреби, так і враховував потреби майбутніх поколінь. У результаті представники світового співтовариства узгодили впровадження нової концепції «сталого розвитку» – так званої зеленої економіки (табл. 1</w:t>
      </w:r>
      <w:r w:rsidR="00582C11">
        <w:rPr>
          <w:rFonts w:ascii="Times New Roman" w:hAnsi="Times New Roman" w:cs="Times New Roman"/>
          <w:sz w:val="20"/>
          <w:szCs w:val="20"/>
        </w:rPr>
        <w:t>.2</w:t>
      </w:r>
      <w:r w:rsidRPr="00F1240A">
        <w:rPr>
          <w:rFonts w:ascii="Times New Roman" w:hAnsi="Times New Roman" w:cs="Times New Roman"/>
          <w:sz w:val="20"/>
          <w:szCs w:val="20"/>
        </w:rPr>
        <w:t xml:space="preserve">). </w:t>
      </w:r>
      <w:r w:rsidRPr="00F1240A">
        <w:rPr>
          <w:rFonts w:ascii="Times New Roman" w:hAnsi="Times New Roman" w:cs="Times New Roman"/>
          <w:sz w:val="20"/>
          <w:szCs w:val="20"/>
        </w:rPr>
        <w:lastRenderedPageBreak/>
        <w:t xml:space="preserve">«Зелена» економіка (англ. </w:t>
      </w:r>
      <w:r w:rsidRPr="00F1240A">
        <w:rPr>
          <w:rFonts w:ascii="Times New Roman" w:hAnsi="Times New Roman" w:cs="Times New Roman"/>
          <w:i/>
          <w:sz w:val="20"/>
          <w:szCs w:val="20"/>
        </w:rPr>
        <w:t>Green economics</w:t>
      </w:r>
      <w:r w:rsidRPr="00F1240A">
        <w:rPr>
          <w:rFonts w:ascii="Times New Roman" w:hAnsi="Times New Roman" w:cs="Times New Roman"/>
          <w:sz w:val="20"/>
          <w:szCs w:val="20"/>
        </w:rPr>
        <w:t>) – напрям в економічній науці, який сформувався в останні</w:t>
      </w:r>
    </w:p>
    <w:p w14:paraId="7B728DAF" w14:textId="72F7074A" w:rsidR="004336FE" w:rsidRPr="00F1240A" w:rsidRDefault="00B56384" w:rsidP="004336FE">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2 десятиріччя, у рамках якого визнається, що економіка є залежним компонентом природного середовища, у межах</w:t>
      </w:r>
      <w:r w:rsidR="004336FE" w:rsidRPr="00F1240A">
        <w:rPr>
          <w:rFonts w:ascii="Times New Roman" w:hAnsi="Times New Roman" w:cs="Times New Roman"/>
          <w:sz w:val="20"/>
          <w:szCs w:val="20"/>
        </w:rPr>
        <w:t xml:space="preserve"> якого вона існує, та водночас є її частиною. Термін «зелена економіка» на сьогодні має різні тлумачення, оскільки я концепція ще перебуває на стадії розроблення. Але, мабуть, найбільш широке застосування і найбільш авторитетне визначення «зеленої» економіки на сьогоднішній день сформульовано аналітиками UNEP – Програми ООН з навколишнього середовища (United Nations Environment Programme).</w:t>
      </w:r>
    </w:p>
    <w:p w14:paraId="7DD8A361" w14:textId="58E1AFA9" w:rsidR="004336FE" w:rsidRPr="00F1240A" w:rsidRDefault="004336FE" w:rsidP="00582C11">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Сучасне трактування теоретичних засад «зеленої» економіки розроблено також всесвітнім об’єднанням учених Інституту «зеленої» економіки (Великобританія). Так, на думку директора цього інституту М. Кеннета,</w:t>
      </w:r>
      <w:r w:rsidR="00582C11">
        <w:rPr>
          <w:rFonts w:ascii="Times New Roman" w:hAnsi="Times New Roman" w:cs="Times New Roman"/>
          <w:sz w:val="20"/>
          <w:szCs w:val="20"/>
        </w:rPr>
        <w:t xml:space="preserve"> </w:t>
      </w:r>
      <w:r w:rsidRPr="00F1240A">
        <w:rPr>
          <w:rFonts w:ascii="Times New Roman" w:hAnsi="Times New Roman" w:cs="Times New Roman"/>
          <w:sz w:val="20"/>
          <w:szCs w:val="20"/>
        </w:rPr>
        <w:t>«зелена» економіка повертає науку з виключно кількісних вимірів «людини економічної» і розширює межі мейнстріму через використання комплексних і міждисциплінарних методів і інструментів. По суті, при обґрунтуванні економічної політики пропонується використовувати абсолютно нові підходи.</w:t>
      </w:r>
    </w:p>
    <w:p w14:paraId="51A33BC0" w14:textId="7B00AADC" w:rsidR="00B56384" w:rsidRPr="00821F04" w:rsidRDefault="00B56384" w:rsidP="0012192B">
      <w:pPr>
        <w:adjustRightInd w:val="0"/>
        <w:snapToGrid w:val="0"/>
        <w:spacing w:after="0" w:line="240" w:lineRule="auto"/>
        <w:ind w:firstLine="567"/>
        <w:jc w:val="both"/>
        <w:rPr>
          <w:rFonts w:ascii="Times New Roman" w:hAnsi="Times New Roman" w:cs="Times New Roman"/>
          <w:sz w:val="20"/>
          <w:szCs w:val="20"/>
        </w:rPr>
      </w:pPr>
    </w:p>
    <w:p w14:paraId="35D4F318" w14:textId="7E629BD9" w:rsidR="00B56384" w:rsidRPr="00984A23" w:rsidRDefault="00B56384" w:rsidP="00821F04">
      <w:pPr>
        <w:adjustRightInd w:val="0"/>
        <w:snapToGrid w:val="0"/>
        <w:spacing w:after="0" w:line="240" w:lineRule="auto"/>
        <w:ind w:firstLine="567"/>
        <w:jc w:val="right"/>
        <w:rPr>
          <w:rFonts w:ascii="Times New Roman" w:hAnsi="Times New Roman" w:cs="Times New Roman"/>
          <w:sz w:val="20"/>
          <w:szCs w:val="20"/>
        </w:rPr>
      </w:pPr>
      <w:r w:rsidRPr="00984A23">
        <w:rPr>
          <w:rFonts w:ascii="Times New Roman" w:hAnsi="Times New Roman" w:cs="Times New Roman"/>
          <w:sz w:val="20"/>
          <w:szCs w:val="20"/>
        </w:rPr>
        <w:t xml:space="preserve">Таблиця </w:t>
      </w:r>
      <w:r w:rsidR="00984A23">
        <w:rPr>
          <w:rFonts w:ascii="Times New Roman" w:hAnsi="Times New Roman" w:cs="Times New Roman"/>
          <w:sz w:val="20"/>
          <w:szCs w:val="20"/>
        </w:rPr>
        <w:t>1</w:t>
      </w:r>
      <w:r w:rsidRPr="00984A23">
        <w:rPr>
          <w:rFonts w:ascii="Times New Roman" w:hAnsi="Times New Roman" w:cs="Times New Roman"/>
          <w:sz w:val="20"/>
          <w:szCs w:val="20"/>
        </w:rPr>
        <w:t>.</w:t>
      </w:r>
      <w:r w:rsidR="00984A23">
        <w:rPr>
          <w:rFonts w:ascii="Times New Roman" w:hAnsi="Times New Roman" w:cs="Times New Roman"/>
          <w:sz w:val="20"/>
          <w:szCs w:val="20"/>
        </w:rPr>
        <w:t>2</w:t>
      </w:r>
    </w:p>
    <w:p w14:paraId="457EB549" w14:textId="77777777" w:rsidR="00B56384" w:rsidRPr="00984A23" w:rsidRDefault="00B56384" w:rsidP="0012192B">
      <w:pPr>
        <w:adjustRightInd w:val="0"/>
        <w:snapToGrid w:val="0"/>
        <w:spacing w:after="0" w:line="240" w:lineRule="auto"/>
        <w:ind w:firstLine="567"/>
        <w:jc w:val="both"/>
        <w:rPr>
          <w:rFonts w:ascii="Times New Roman" w:hAnsi="Times New Roman" w:cs="Times New Roman"/>
          <w:sz w:val="20"/>
          <w:szCs w:val="20"/>
        </w:rPr>
      </w:pPr>
      <w:r w:rsidRPr="00984A23">
        <w:rPr>
          <w:rFonts w:ascii="Times New Roman" w:hAnsi="Times New Roman" w:cs="Times New Roman"/>
          <w:sz w:val="20"/>
          <w:szCs w:val="20"/>
        </w:rPr>
        <w:t>Визначення концепцій суспільного розвитку</w:t>
      </w:r>
    </w:p>
    <w:tbl>
      <w:tblPr>
        <w:tblW w:w="5000" w:type="pct"/>
        <w:tblBorders>
          <w:top w:val="single" w:sz="18" w:space="0" w:color="007B3A"/>
          <w:left w:val="single" w:sz="18" w:space="0" w:color="007B3A"/>
          <w:bottom w:val="single" w:sz="18" w:space="0" w:color="007B3A"/>
          <w:right w:val="single" w:sz="18" w:space="0" w:color="007B3A"/>
          <w:insideH w:val="single" w:sz="18" w:space="0" w:color="007B3A"/>
          <w:insideV w:val="single" w:sz="18" w:space="0" w:color="007B3A"/>
        </w:tblBorders>
        <w:tblCellMar>
          <w:left w:w="0" w:type="dxa"/>
          <w:right w:w="0" w:type="dxa"/>
        </w:tblCellMar>
        <w:tblLook w:val="01E0" w:firstRow="1" w:lastRow="1" w:firstColumn="1" w:lastColumn="1" w:noHBand="0" w:noVBand="0"/>
      </w:tblPr>
      <w:tblGrid>
        <w:gridCol w:w="1586"/>
        <w:gridCol w:w="5057"/>
      </w:tblGrid>
      <w:tr w:rsidR="00B56384" w:rsidRPr="00B56384" w14:paraId="1B7DB7D7" w14:textId="77777777" w:rsidTr="005626F6">
        <w:trPr>
          <w:trHeight w:val="234"/>
        </w:trPr>
        <w:tc>
          <w:tcPr>
            <w:tcW w:w="1194" w:type="pct"/>
            <w:tcBorders>
              <w:bottom w:val="single" w:sz="4" w:space="0" w:color="000000"/>
              <w:right w:val="single" w:sz="4" w:space="0" w:color="000000"/>
            </w:tcBorders>
            <w:shd w:val="clear" w:color="auto" w:fill="007B3A"/>
          </w:tcPr>
          <w:p w14:paraId="28FD9BFF" w14:textId="77777777" w:rsidR="00B56384" w:rsidRPr="00B56384" w:rsidRDefault="00B56384" w:rsidP="0012192B">
            <w:pPr>
              <w:adjustRightInd w:val="0"/>
              <w:snapToGrid w:val="0"/>
              <w:spacing w:after="0" w:line="240" w:lineRule="auto"/>
              <w:ind w:firstLine="567"/>
              <w:jc w:val="both"/>
              <w:rPr>
                <w:rFonts w:ascii="Times New Roman" w:hAnsi="Times New Roman" w:cs="Times New Roman"/>
                <w:b/>
                <w:sz w:val="16"/>
                <w:szCs w:val="16"/>
              </w:rPr>
            </w:pPr>
            <w:r w:rsidRPr="00B56384">
              <w:rPr>
                <w:rFonts w:ascii="Times New Roman" w:hAnsi="Times New Roman" w:cs="Times New Roman"/>
                <w:b/>
                <w:sz w:val="16"/>
                <w:szCs w:val="16"/>
              </w:rPr>
              <w:t>назва</w:t>
            </w:r>
          </w:p>
        </w:tc>
        <w:tc>
          <w:tcPr>
            <w:tcW w:w="3806" w:type="pct"/>
            <w:tcBorders>
              <w:left w:val="single" w:sz="4" w:space="0" w:color="000000"/>
              <w:bottom w:val="single" w:sz="4" w:space="0" w:color="000000"/>
            </w:tcBorders>
            <w:shd w:val="clear" w:color="auto" w:fill="007B3A"/>
          </w:tcPr>
          <w:p w14:paraId="24563D63" w14:textId="77777777" w:rsidR="00B56384" w:rsidRPr="00B56384" w:rsidRDefault="00B56384" w:rsidP="0012192B">
            <w:pPr>
              <w:adjustRightInd w:val="0"/>
              <w:snapToGrid w:val="0"/>
              <w:spacing w:after="0" w:line="240" w:lineRule="auto"/>
              <w:ind w:firstLine="567"/>
              <w:jc w:val="both"/>
              <w:rPr>
                <w:rFonts w:ascii="Times New Roman" w:hAnsi="Times New Roman" w:cs="Times New Roman"/>
                <w:b/>
                <w:sz w:val="16"/>
                <w:szCs w:val="16"/>
              </w:rPr>
            </w:pPr>
            <w:r w:rsidRPr="00B56384">
              <w:rPr>
                <w:rFonts w:ascii="Times New Roman" w:hAnsi="Times New Roman" w:cs="Times New Roman"/>
                <w:b/>
                <w:sz w:val="16"/>
                <w:szCs w:val="16"/>
              </w:rPr>
              <w:t>Сутність</w:t>
            </w:r>
          </w:p>
        </w:tc>
      </w:tr>
      <w:tr w:rsidR="00B56384" w:rsidRPr="00B56384" w14:paraId="5FA38E68" w14:textId="77777777" w:rsidTr="005626F6">
        <w:trPr>
          <w:trHeight w:val="691"/>
        </w:trPr>
        <w:tc>
          <w:tcPr>
            <w:tcW w:w="1194" w:type="pct"/>
            <w:tcBorders>
              <w:top w:val="single" w:sz="4" w:space="0" w:color="000000"/>
              <w:bottom w:val="single" w:sz="4" w:space="0" w:color="000000"/>
              <w:right w:val="single" w:sz="4" w:space="0" w:color="000000"/>
            </w:tcBorders>
          </w:tcPr>
          <w:p w14:paraId="41026169" w14:textId="77777777" w:rsidR="00B56384" w:rsidRPr="00B56384" w:rsidRDefault="00B56384" w:rsidP="005626F6">
            <w:pPr>
              <w:adjustRightInd w:val="0"/>
              <w:snapToGrid w:val="0"/>
              <w:spacing w:after="0" w:line="240" w:lineRule="auto"/>
              <w:jc w:val="both"/>
              <w:rPr>
                <w:rFonts w:ascii="Times New Roman" w:hAnsi="Times New Roman" w:cs="Times New Roman"/>
                <w:sz w:val="16"/>
                <w:szCs w:val="16"/>
              </w:rPr>
            </w:pPr>
            <w:r w:rsidRPr="00B56384">
              <w:rPr>
                <w:rFonts w:ascii="Times New Roman" w:hAnsi="Times New Roman" w:cs="Times New Roman"/>
                <w:sz w:val="16"/>
                <w:szCs w:val="16"/>
              </w:rPr>
              <w:t>Коричнева економіка</w:t>
            </w:r>
          </w:p>
        </w:tc>
        <w:tc>
          <w:tcPr>
            <w:tcW w:w="3806" w:type="pct"/>
            <w:tcBorders>
              <w:top w:val="single" w:sz="4" w:space="0" w:color="000000"/>
              <w:left w:val="single" w:sz="4" w:space="0" w:color="000000"/>
              <w:bottom w:val="single" w:sz="4" w:space="0" w:color="000000"/>
            </w:tcBorders>
          </w:tcPr>
          <w:p w14:paraId="135FDCBA" w14:textId="77777777" w:rsidR="00B56384" w:rsidRPr="00B56384" w:rsidRDefault="00B56384" w:rsidP="0012192B">
            <w:pPr>
              <w:adjustRightInd w:val="0"/>
              <w:snapToGrid w:val="0"/>
              <w:spacing w:after="0" w:line="240" w:lineRule="auto"/>
              <w:ind w:firstLine="567"/>
              <w:jc w:val="both"/>
              <w:rPr>
                <w:rFonts w:ascii="Times New Roman" w:hAnsi="Times New Roman" w:cs="Times New Roman"/>
                <w:sz w:val="16"/>
                <w:szCs w:val="16"/>
              </w:rPr>
            </w:pPr>
            <w:r w:rsidRPr="00B56384">
              <w:rPr>
                <w:rFonts w:ascii="Times New Roman" w:hAnsi="Times New Roman" w:cs="Times New Roman"/>
                <w:sz w:val="16"/>
                <w:szCs w:val="16"/>
              </w:rPr>
              <w:t>Економічне зростання без урахування вимог екологічної безпеки, критеріїв виснаження наявних природних ресурсів та забруднення навколишнього середовища</w:t>
            </w:r>
          </w:p>
        </w:tc>
      </w:tr>
      <w:tr w:rsidR="00B56384" w:rsidRPr="00B56384" w14:paraId="5AA05066" w14:textId="77777777" w:rsidTr="005626F6">
        <w:trPr>
          <w:trHeight w:val="691"/>
        </w:trPr>
        <w:tc>
          <w:tcPr>
            <w:tcW w:w="1194" w:type="pct"/>
            <w:tcBorders>
              <w:top w:val="single" w:sz="4" w:space="0" w:color="000000"/>
              <w:bottom w:val="single" w:sz="4" w:space="0" w:color="000000"/>
              <w:right w:val="single" w:sz="4" w:space="0" w:color="000000"/>
            </w:tcBorders>
          </w:tcPr>
          <w:p w14:paraId="209B0686" w14:textId="77777777" w:rsidR="00B56384" w:rsidRPr="00B56384" w:rsidRDefault="00B56384" w:rsidP="005626F6">
            <w:pPr>
              <w:adjustRightInd w:val="0"/>
              <w:snapToGrid w:val="0"/>
              <w:spacing w:after="0" w:line="240" w:lineRule="auto"/>
              <w:jc w:val="both"/>
              <w:rPr>
                <w:rFonts w:ascii="Times New Roman" w:hAnsi="Times New Roman" w:cs="Times New Roman"/>
                <w:sz w:val="16"/>
                <w:szCs w:val="16"/>
              </w:rPr>
            </w:pPr>
            <w:r w:rsidRPr="00B56384">
              <w:rPr>
                <w:rFonts w:ascii="Times New Roman" w:hAnsi="Times New Roman" w:cs="Times New Roman"/>
                <w:sz w:val="16"/>
                <w:szCs w:val="16"/>
              </w:rPr>
              <w:t>Сталий розвиток</w:t>
            </w:r>
          </w:p>
        </w:tc>
        <w:tc>
          <w:tcPr>
            <w:tcW w:w="3806" w:type="pct"/>
            <w:tcBorders>
              <w:top w:val="single" w:sz="4" w:space="0" w:color="000000"/>
              <w:left w:val="single" w:sz="4" w:space="0" w:color="000000"/>
              <w:bottom w:val="single" w:sz="4" w:space="0" w:color="000000"/>
            </w:tcBorders>
          </w:tcPr>
          <w:p w14:paraId="7655F4E1" w14:textId="042D712A" w:rsidR="00B56384" w:rsidRPr="00B56384" w:rsidRDefault="00B56384" w:rsidP="0012192B">
            <w:pPr>
              <w:adjustRightInd w:val="0"/>
              <w:snapToGrid w:val="0"/>
              <w:spacing w:after="0" w:line="240" w:lineRule="auto"/>
              <w:ind w:firstLine="567"/>
              <w:jc w:val="both"/>
              <w:rPr>
                <w:rFonts w:ascii="Times New Roman" w:hAnsi="Times New Roman" w:cs="Times New Roman"/>
                <w:sz w:val="16"/>
                <w:szCs w:val="16"/>
              </w:rPr>
            </w:pPr>
            <w:r w:rsidRPr="00B56384">
              <w:rPr>
                <w:rFonts w:ascii="Times New Roman" w:hAnsi="Times New Roman" w:cs="Times New Roman"/>
                <w:sz w:val="16"/>
                <w:szCs w:val="16"/>
              </w:rPr>
              <w:t>це такий розвиток, який задовольняє сьогоднішні потреби суспільства, не ставлячи під загрозу можливість майбутніх поколінь задовольняти свої потреби (Комісія ЮНЕП)</w:t>
            </w:r>
          </w:p>
        </w:tc>
      </w:tr>
      <w:tr w:rsidR="00B56384" w:rsidRPr="00B56384" w14:paraId="376816D4" w14:textId="77777777" w:rsidTr="005626F6">
        <w:trPr>
          <w:trHeight w:val="893"/>
        </w:trPr>
        <w:tc>
          <w:tcPr>
            <w:tcW w:w="1194" w:type="pct"/>
            <w:tcBorders>
              <w:top w:val="single" w:sz="4" w:space="0" w:color="000000"/>
              <w:right w:val="single" w:sz="4" w:space="0" w:color="000000"/>
            </w:tcBorders>
          </w:tcPr>
          <w:p w14:paraId="53395236" w14:textId="77777777" w:rsidR="00B56384" w:rsidRPr="00B56384" w:rsidRDefault="00B56384" w:rsidP="0012192B">
            <w:pPr>
              <w:adjustRightInd w:val="0"/>
              <w:snapToGrid w:val="0"/>
              <w:spacing w:after="0" w:line="240" w:lineRule="auto"/>
              <w:ind w:firstLine="567"/>
              <w:jc w:val="both"/>
              <w:rPr>
                <w:rFonts w:ascii="Times New Roman" w:hAnsi="Times New Roman" w:cs="Times New Roman"/>
                <w:b/>
                <w:sz w:val="16"/>
                <w:szCs w:val="16"/>
              </w:rPr>
            </w:pPr>
          </w:p>
          <w:p w14:paraId="5913D6CE" w14:textId="77777777" w:rsidR="00B56384" w:rsidRPr="00B56384" w:rsidRDefault="00B56384" w:rsidP="005626F6">
            <w:pPr>
              <w:adjustRightInd w:val="0"/>
              <w:snapToGrid w:val="0"/>
              <w:spacing w:after="0" w:line="240" w:lineRule="auto"/>
              <w:jc w:val="both"/>
              <w:rPr>
                <w:rFonts w:ascii="Times New Roman" w:hAnsi="Times New Roman" w:cs="Times New Roman"/>
                <w:sz w:val="16"/>
                <w:szCs w:val="16"/>
              </w:rPr>
            </w:pPr>
            <w:r w:rsidRPr="00B56384">
              <w:rPr>
                <w:rFonts w:ascii="Times New Roman" w:hAnsi="Times New Roman" w:cs="Times New Roman"/>
                <w:sz w:val="16"/>
                <w:szCs w:val="16"/>
              </w:rPr>
              <w:t>«Зелена» економіка</w:t>
            </w:r>
          </w:p>
        </w:tc>
        <w:tc>
          <w:tcPr>
            <w:tcW w:w="3806" w:type="pct"/>
            <w:tcBorders>
              <w:top w:val="single" w:sz="4" w:space="0" w:color="000000"/>
              <w:left w:val="single" w:sz="4" w:space="0" w:color="000000"/>
            </w:tcBorders>
          </w:tcPr>
          <w:p w14:paraId="692479F8" w14:textId="77777777" w:rsidR="00B56384" w:rsidRPr="00B56384" w:rsidRDefault="00B56384" w:rsidP="0012192B">
            <w:pPr>
              <w:adjustRightInd w:val="0"/>
              <w:snapToGrid w:val="0"/>
              <w:spacing w:after="0" w:line="240" w:lineRule="auto"/>
              <w:ind w:firstLine="567"/>
              <w:jc w:val="both"/>
              <w:rPr>
                <w:rFonts w:ascii="Times New Roman" w:hAnsi="Times New Roman" w:cs="Times New Roman"/>
                <w:sz w:val="16"/>
                <w:szCs w:val="16"/>
              </w:rPr>
            </w:pPr>
            <w:r w:rsidRPr="00B56384">
              <w:rPr>
                <w:rFonts w:ascii="Times New Roman" w:hAnsi="Times New Roman" w:cs="Times New Roman"/>
                <w:sz w:val="16"/>
                <w:szCs w:val="16"/>
              </w:rPr>
              <w:t>економіка, яка сприяє підвищенню добробуту людей і зміцненню соціальної справедливості при одночасному істотному зниженні ризиків для довкілля та дефіциту екологічних ресурсів (визначення ЮНЕП)</w:t>
            </w:r>
          </w:p>
        </w:tc>
      </w:tr>
    </w:tbl>
    <w:p w14:paraId="19801BF8" w14:textId="77777777" w:rsidR="00B04D8C" w:rsidRDefault="00B04D8C" w:rsidP="0012192B">
      <w:pPr>
        <w:adjustRightInd w:val="0"/>
        <w:snapToGrid w:val="0"/>
        <w:spacing w:after="0" w:line="240" w:lineRule="auto"/>
        <w:ind w:firstLine="567"/>
        <w:jc w:val="both"/>
        <w:rPr>
          <w:rFonts w:ascii="Times New Roman" w:hAnsi="Times New Roman" w:cs="Times New Roman"/>
          <w:sz w:val="16"/>
          <w:szCs w:val="16"/>
        </w:rPr>
      </w:pPr>
    </w:p>
    <w:p w14:paraId="3737DE55" w14:textId="0324A9B9"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Пріоритетом «зеленої» економіки також визначається добробут усіх людей, збереження біорізноманіття на землі і планети Земля в цілому, а не отримання спрощеної кількісної статистики. Викриваються приховані руйнації, які прийнято називати «економічним зростанням», – «ростізм» (</w:t>
      </w:r>
      <w:r w:rsidRPr="00F1240A">
        <w:rPr>
          <w:rFonts w:ascii="Times New Roman" w:hAnsi="Times New Roman" w:cs="Times New Roman"/>
          <w:i/>
          <w:sz w:val="20"/>
          <w:szCs w:val="20"/>
        </w:rPr>
        <w:t>Growthism</w:t>
      </w:r>
      <w:r w:rsidRPr="00F1240A">
        <w:rPr>
          <w:rFonts w:ascii="Times New Roman" w:hAnsi="Times New Roman" w:cs="Times New Roman"/>
          <w:sz w:val="20"/>
          <w:szCs w:val="20"/>
        </w:rPr>
        <w:t>), і визначаються дефініції справжнього зростання з урахуванням використання природних ресурсів і природних екосистем.</w:t>
      </w:r>
    </w:p>
    <w:p w14:paraId="75592410" w14:textId="308FD475"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До основних принципів «зеленої економіки» належать:</w:t>
      </w:r>
    </w:p>
    <w:p w14:paraId="77C97B10" w14:textId="77777777" w:rsidR="00B56384" w:rsidRPr="00F1240A" w:rsidRDefault="00B56384" w:rsidP="00030A38">
      <w:pPr>
        <w:numPr>
          <w:ilvl w:val="0"/>
          <w:numId w:val="14"/>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рівність і справедливість у межах одного покоління і між поколіннями;</w:t>
      </w:r>
    </w:p>
    <w:p w14:paraId="0782FB65" w14:textId="77777777" w:rsidR="00B56384" w:rsidRPr="00F1240A" w:rsidRDefault="00B56384" w:rsidP="00030A38">
      <w:pPr>
        <w:numPr>
          <w:ilvl w:val="0"/>
          <w:numId w:val="14"/>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відповідність принципам сталого розвитку;</w:t>
      </w:r>
    </w:p>
    <w:p w14:paraId="46F2F86E" w14:textId="18D65377" w:rsidR="00B56384" w:rsidRPr="00F1240A" w:rsidRDefault="00B56384" w:rsidP="00030A38">
      <w:pPr>
        <w:numPr>
          <w:ilvl w:val="0"/>
          <w:numId w:val="14"/>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lastRenderedPageBreak/>
        <w:t>обережність щодо соціальних наслідків і впливу на навколишнє середовище;</w:t>
      </w:r>
    </w:p>
    <w:p w14:paraId="72316A47" w14:textId="4C2C04A8" w:rsidR="00B56384" w:rsidRPr="00F1240A" w:rsidRDefault="00B56384" w:rsidP="00030A38">
      <w:pPr>
        <w:numPr>
          <w:ilvl w:val="0"/>
          <w:numId w:val="14"/>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розуміння високої цінності природного й соціального капіталу, наприклад, за рахунок інтерналізації зовнішніх екологічних витрат, «зеленого» обліку, оцінки витрат за період усього</w:t>
      </w:r>
    </w:p>
    <w:p w14:paraId="2FE3AF05" w14:textId="7B9B4F2F"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життєвого циклу продукту і поліпшення управління;</w:t>
      </w:r>
    </w:p>
    <w:p w14:paraId="4CBE2D7B" w14:textId="4FBB71CE" w:rsidR="00B56384" w:rsidRPr="00F1240A" w:rsidRDefault="00B56384" w:rsidP="00030A38">
      <w:pPr>
        <w:numPr>
          <w:ilvl w:val="0"/>
          <w:numId w:val="13"/>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ефективність використання ресурсів, стійке споживання і виробництво;</w:t>
      </w:r>
    </w:p>
    <w:p w14:paraId="36E39948" w14:textId="6509BE54" w:rsidR="00B56384" w:rsidRPr="00F1240A" w:rsidRDefault="00B56384" w:rsidP="00030A38">
      <w:pPr>
        <w:numPr>
          <w:ilvl w:val="0"/>
          <w:numId w:val="13"/>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необхідність відповідності макроекономічним цілям у спосіб створення</w:t>
      </w:r>
    </w:p>
    <w:p w14:paraId="547C3194" w14:textId="41D79C32"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«зелених» робочих місць, підвищення рівня конкуренції і зростання в основних галузях.</w:t>
      </w:r>
    </w:p>
    <w:p w14:paraId="3B86CD1D" w14:textId="773D9521"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Означення «зелений» часто неправильно використовують лише щодо економіки навколишнього природного середовища. Насправді головним елементом «зеленої» економіки є Земля як даність, її існування є відправною точкою будь-яких теоретичних побудов і практичних дій. «Зелена» економіка базована на основних положеннях екологічної економіки, але розвиває її і виходить далеко поза її межі, прагнучи одночасного досягнення соціальної та екологічної справедливості як окремих аспектів єдиного цілого. «Зелена» економіка шукає рішення, яке одночасно дозволяє боротися з бідністю, глобальними змінами клімату, зниженням біорізноманіття та знищенням видів у межах  забезпечення  справедливості.</w:t>
      </w:r>
    </w:p>
    <w:p w14:paraId="3D779CEA" w14:textId="78E836D7"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«Зелена» економіка порушує та досліджує питання, яким чином створення дефіциту стало означати створення вартості в умовах обмежених ресурсів Землі та як теорія зростання призвела до сьогоднішньої економічної мети – збільшення масового споживання.</w:t>
      </w:r>
    </w:p>
    <w:p w14:paraId="30CB8C82" w14:textId="7FC64AE0"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Імпульсом розвитку «зеленої» економіки стала культурна революція 60-х років ХХ ст., ідеологічним базисом якої була книга Р. Карсон «Тиха весна» (1962 р.), де вперше висвітлювалися негативні наслідки економічного зростання, зокрема знищення біорізноманіття.</w:t>
      </w:r>
    </w:p>
    <w:p w14:paraId="4BD27E1F" w14:textId="11415847" w:rsidR="00B56384" w:rsidRPr="00F1240A" w:rsidRDefault="00B56384" w:rsidP="00432A4D">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«Зелена» економіка вносить до традиційної економіки чинники екології, справедливості, соціальної та екологічної відповідальності. Розвиток цих ідей відображається в таких споріднених напрямах економічної науки та філософії, як економіка добробуту, економіка природокористування й екологічна  економіка,  та  оновлює  такінапрями, як низьковуглецева економіка та ресурсоефективність, зокрема повторне використання, перероблення, протидія</w:t>
      </w:r>
      <w:r w:rsidR="009C2BC3">
        <w:rPr>
          <w:rFonts w:ascii="Times New Roman" w:hAnsi="Times New Roman" w:cs="Times New Roman"/>
          <w:sz w:val="20"/>
          <w:szCs w:val="20"/>
        </w:rPr>
        <w:t xml:space="preserve">  </w:t>
      </w:r>
      <w:r w:rsidRPr="00F1240A">
        <w:rPr>
          <w:rFonts w:ascii="Times New Roman" w:hAnsi="Times New Roman" w:cs="Times New Roman"/>
          <w:sz w:val="20"/>
          <w:szCs w:val="20"/>
        </w:rPr>
        <w:t>забрудненню</w:t>
      </w:r>
      <w:r w:rsidR="009C2BC3">
        <w:rPr>
          <w:rFonts w:ascii="Times New Roman" w:hAnsi="Times New Roman" w:cs="Times New Roman"/>
          <w:sz w:val="20"/>
          <w:szCs w:val="20"/>
        </w:rPr>
        <w:t xml:space="preserve">  </w:t>
      </w:r>
      <w:r w:rsidRPr="00F1240A">
        <w:rPr>
          <w:rFonts w:ascii="Times New Roman" w:hAnsi="Times New Roman" w:cs="Times New Roman"/>
          <w:sz w:val="20"/>
          <w:szCs w:val="20"/>
        </w:rPr>
        <w:t xml:space="preserve">навколишнього природного середовища, транскордонному забрудненню, боротьба з корупцією. Економічні критерії мають включати цінності фізичного світу і створювати відчуття зв’язку між суспільством і світом природи на основі системи цінностей і моральних принципів. Незважаючи на глобальність «зеленого» мислення, «зелена» економіка орієнтує на розвиток локального виробництва для місцевих потреб, </w:t>
      </w:r>
      <w:r w:rsidRPr="00F1240A">
        <w:rPr>
          <w:rFonts w:ascii="Times New Roman" w:hAnsi="Times New Roman" w:cs="Times New Roman"/>
          <w:sz w:val="20"/>
          <w:szCs w:val="20"/>
        </w:rPr>
        <w:lastRenderedPageBreak/>
        <w:t>а також на вторинне</w:t>
      </w:r>
      <w:r w:rsidR="009C2BC3">
        <w:rPr>
          <w:rFonts w:ascii="Times New Roman" w:hAnsi="Times New Roman" w:cs="Times New Roman"/>
          <w:sz w:val="20"/>
          <w:szCs w:val="20"/>
        </w:rPr>
        <w:t xml:space="preserve"> </w:t>
      </w:r>
      <w:r w:rsidRPr="00F1240A">
        <w:rPr>
          <w:rFonts w:ascii="Times New Roman" w:hAnsi="Times New Roman" w:cs="Times New Roman"/>
          <w:sz w:val="20"/>
          <w:szCs w:val="20"/>
        </w:rPr>
        <w:t>використання,</w:t>
      </w:r>
      <w:r w:rsidR="009C2BC3">
        <w:rPr>
          <w:rFonts w:ascii="Times New Roman" w:hAnsi="Times New Roman" w:cs="Times New Roman"/>
          <w:sz w:val="20"/>
          <w:szCs w:val="20"/>
        </w:rPr>
        <w:t xml:space="preserve"> </w:t>
      </w:r>
      <w:r w:rsidRPr="00F1240A">
        <w:rPr>
          <w:rFonts w:ascii="Times New Roman" w:hAnsi="Times New Roman" w:cs="Times New Roman"/>
          <w:sz w:val="20"/>
          <w:szCs w:val="20"/>
        </w:rPr>
        <w:t>скорочення, ремонт, перероблення, а не розширення</w:t>
      </w:r>
      <w:r w:rsidR="00432A4D">
        <w:rPr>
          <w:rFonts w:ascii="Times New Roman" w:hAnsi="Times New Roman" w:cs="Times New Roman"/>
          <w:sz w:val="20"/>
          <w:szCs w:val="20"/>
        </w:rPr>
        <w:t xml:space="preserve"> </w:t>
      </w:r>
      <w:r w:rsidRPr="00F1240A">
        <w:rPr>
          <w:rFonts w:ascii="Times New Roman" w:hAnsi="Times New Roman" w:cs="Times New Roman"/>
          <w:sz w:val="20"/>
          <w:szCs w:val="20"/>
        </w:rPr>
        <w:t>глобальної експансії корпорацій.</w:t>
      </w:r>
    </w:p>
    <w:p w14:paraId="653D4CD1" w14:textId="77777777"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Експертами визначено такі ключові переваги «зеленої економіки»:</w:t>
      </w:r>
    </w:p>
    <w:p w14:paraId="7BB8DACB" w14:textId="0E17BC8E" w:rsidR="00B56384" w:rsidRPr="00F1240A" w:rsidRDefault="00B56384" w:rsidP="00030A38">
      <w:pPr>
        <w:numPr>
          <w:ilvl w:val="0"/>
          <w:numId w:val="12"/>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спрямованість на забезпечення потреб усіх людей у всьому світі, захист біологічних видів, збереження природного середовища, Землі як системи й одного з отримувачів вигод, а не об’єкта забруднення й експлуатації;</w:t>
      </w:r>
    </w:p>
    <w:p w14:paraId="7DAE9B06" w14:textId="5DAD503F" w:rsidR="00B56384" w:rsidRPr="00F1240A" w:rsidRDefault="00B56384" w:rsidP="00030A38">
      <w:pPr>
        <w:numPr>
          <w:ilvl w:val="0"/>
          <w:numId w:val="12"/>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ґрунтованість на соціальній та екологічній справедливості, толерантності, створенні високої якості життя для сучасних і майбутніх поколінь, поєднанні інтересів літніх людей і молоді;</w:t>
      </w:r>
    </w:p>
    <w:p w14:paraId="2E7E29FF" w14:textId="5CEC7B05" w:rsidR="00B56384" w:rsidRPr="00F1240A" w:rsidRDefault="00B56384" w:rsidP="00030A38">
      <w:pPr>
        <w:numPr>
          <w:ilvl w:val="0"/>
          <w:numId w:val="12"/>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забезпечення дотримання прав біологічних видів на існування і збереження біорізноманіття;</w:t>
      </w:r>
    </w:p>
    <w:p w14:paraId="391DD602" w14:textId="77777777" w:rsidR="00B56384" w:rsidRPr="00F1240A" w:rsidRDefault="00B56384" w:rsidP="00030A38">
      <w:pPr>
        <w:numPr>
          <w:ilvl w:val="0"/>
          <w:numId w:val="12"/>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націленість на ненасильницьке розв’язання проблем і забезпечення інклюзивності добробуту, зокрема для осіб з обмеженими можливостями;</w:t>
      </w:r>
    </w:p>
    <w:p w14:paraId="48A7D14F" w14:textId="77384B80" w:rsidR="00B56384" w:rsidRPr="00F1240A" w:rsidRDefault="00B56384" w:rsidP="00030A38">
      <w:pPr>
        <w:numPr>
          <w:ilvl w:val="0"/>
          <w:numId w:val="12"/>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забезпечення рівного доступу до прийняття рішень (управління) і ресурсів, зокрема місцеві жителі повинні мати контроль над власною часткою й використанням ресурсів;</w:t>
      </w:r>
    </w:p>
    <w:p w14:paraId="6915A195" w14:textId="45B561CA" w:rsidR="00B56384" w:rsidRPr="00F1240A" w:rsidRDefault="00B56384" w:rsidP="00030A38">
      <w:pPr>
        <w:numPr>
          <w:ilvl w:val="0"/>
          <w:numId w:val="12"/>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забезпечення гендерної рівності в усіх сферах діяльності, навчанні, увага до розширення прав і можливостей жінок, а також національних, сексуальних і релігійних меншин;</w:t>
      </w:r>
    </w:p>
    <w:p w14:paraId="4BEC7652" w14:textId="6FB72685" w:rsidR="00B56384" w:rsidRPr="00F1240A" w:rsidRDefault="00B56384" w:rsidP="00030A38">
      <w:pPr>
        <w:numPr>
          <w:ilvl w:val="0"/>
          <w:numId w:val="12"/>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припинення зростання масового споживання й нераціонального використання ресурсів планети, спрямованість на повернення природного саморегулювання, відновлення кліматичних умов у спосіб запровадження екологічних технологій, зниження викидів вуглецю, зміни критеріїв оцінювання економічної ефективності з математичних абстракцій на визначення реальних наслідків для всіх зацікавлених сторін; орієнтованість на повагу до всіх людей однаково; запобігання бідності за допомогою адаптаційних заходів щодо пом’якшення змін клімату і захисту найбільш вразливих елементів природи та суспільства; забезпечення швидкого скорочення обсягів викиду вуглецю на душу населення в усьому світі до 2 тонн у найближчі 5 років та вихід на нульові викиди в середньотерміновій перспективі;</w:t>
      </w:r>
    </w:p>
    <w:p w14:paraId="49840A52" w14:textId="1DF0528D" w:rsidR="00B56384" w:rsidRPr="00F1240A" w:rsidRDefault="00B56384" w:rsidP="00030A38">
      <w:pPr>
        <w:numPr>
          <w:ilvl w:val="0"/>
          <w:numId w:val="12"/>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передбачення переходу на відновлювані джерела енергії; створення нової моделі економіки для подолання поточної невизначеності та спаду, якими позначився початок ХХІ ст.</w:t>
      </w:r>
    </w:p>
    <w:p w14:paraId="698CC028" w14:textId="0D35CBE4"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 xml:space="preserve">Поряд із </w:t>
      </w:r>
      <w:r w:rsidRPr="00F1240A">
        <w:rPr>
          <w:rFonts w:ascii="Times New Roman" w:hAnsi="Times New Roman" w:cs="Times New Roman"/>
          <w:b/>
          <w:sz w:val="20"/>
          <w:szCs w:val="20"/>
        </w:rPr>
        <w:t xml:space="preserve">«зеленою» економікою </w:t>
      </w:r>
      <w:r w:rsidRPr="00F1240A">
        <w:rPr>
          <w:rFonts w:ascii="Times New Roman" w:hAnsi="Times New Roman" w:cs="Times New Roman"/>
          <w:sz w:val="20"/>
          <w:szCs w:val="20"/>
        </w:rPr>
        <w:t xml:space="preserve">як практичним втіленням концепції сталого розвитку існує обґрунтована Г. Паулі в межах діяльності Римського клубу </w:t>
      </w:r>
      <w:r w:rsidRPr="00F1240A">
        <w:rPr>
          <w:rFonts w:ascii="Times New Roman" w:hAnsi="Times New Roman" w:cs="Times New Roman"/>
          <w:b/>
          <w:sz w:val="20"/>
          <w:szCs w:val="20"/>
        </w:rPr>
        <w:t>«синя економіка»</w:t>
      </w:r>
      <w:r w:rsidRPr="00F1240A">
        <w:rPr>
          <w:rFonts w:ascii="Times New Roman" w:hAnsi="Times New Roman" w:cs="Times New Roman"/>
          <w:sz w:val="20"/>
          <w:szCs w:val="20"/>
        </w:rPr>
        <w:t xml:space="preserve">, що визначається як перехід до нового типу мислення. Її автор акцентує увагу на необхідності відмови від застарілих звичок і поглядів та пошуку нових рішень. Незважаючи на те, що важливість збалансованості процесів дедалі більше усвідомлюється, досі мало хто знає, як зробити їх вигідними. За всіх своїх безумовних переваг «синя» економіка, ґрунтована на глибокому знанні природних законів і впровадженні їх в практичне життя, сьогодні є, імовірніше, педагогічною методологією, за якою </w:t>
      </w:r>
      <w:r w:rsidRPr="00F1240A">
        <w:rPr>
          <w:rFonts w:ascii="Times New Roman" w:hAnsi="Times New Roman" w:cs="Times New Roman"/>
          <w:sz w:val="20"/>
          <w:szCs w:val="20"/>
        </w:rPr>
        <w:lastRenderedPageBreak/>
        <w:t>можна навчити дітей правильному підходу до екологічної трансформації господарства та розбудови нової економіки. Перспективи нашого наближчого майбутнього (до 2050 р.) пов’язані саме із «зеленою економікою», яка пропонує реальні механізми зміни сучасної моделі господарювання.</w:t>
      </w:r>
    </w:p>
    <w:p w14:paraId="2580C33A" w14:textId="7B0C0C8E" w:rsidR="00B56384" w:rsidRPr="00F1240A" w:rsidRDefault="00B56384" w:rsidP="00165868">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Загальновідомі постулати теорії зеленої економіки базуються на 3-х аксіомах:</w:t>
      </w:r>
      <w:r w:rsidR="00165868" w:rsidRPr="00C37F1C">
        <w:rPr>
          <w:rFonts w:ascii="Times New Roman" w:hAnsi="Times New Roman" w:cs="Times New Roman"/>
          <w:sz w:val="20"/>
          <w:szCs w:val="20"/>
        </w:rPr>
        <w:t xml:space="preserve"> </w:t>
      </w:r>
      <w:r w:rsidRPr="00F1240A">
        <w:rPr>
          <w:rFonts w:ascii="Times New Roman" w:hAnsi="Times New Roman" w:cs="Times New Roman"/>
          <w:sz w:val="20"/>
          <w:szCs w:val="20"/>
        </w:rPr>
        <w:t>неможливо нескінченно розширювати сферу впливу людської діяльності в обмеженому просторі;</w:t>
      </w:r>
    </w:p>
    <w:p w14:paraId="57CE5F70" w14:textId="184AAE6E" w:rsidR="00B56384" w:rsidRPr="00F1240A" w:rsidRDefault="00B56384" w:rsidP="00030A38">
      <w:pPr>
        <w:numPr>
          <w:ilvl w:val="1"/>
          <w:numId w:val="12"/>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неможливо вимагати задоволення нескінченно збільшуваних потреб в умовах обмеженості ресурсів;</w:t>
      </w:r>
    </w:p>
    <w:p w14:paraId="23301D96" w14:textId="04127BC5" w:rsidR="00B56384" w:rsidRPr="00F1240A" w:rsidRDefault="00B56384" w:rsidP="00030A38">
      <w:pPr>
        <w:numPr>
          <w:ilvl w:val="1"/>
          <w:numId w:val="12"/>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усе на поверхні Землі є взаємопов'язаним.</w:t>
      </w:r>
    </w:p>
    <w:p w14:paraId="07EBCB6D" w14:textId="3D647E28"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Наразі ця теорія дуже широко пропагується на міжнародному та європейському рівнях, проте, на жаль, поки що законодавчо не визнана на теренах України. Між тим національна економіка потребує адаптації до умов екологічно безпечної конкуренції на регіональних та глобальних ринках, що означає підвищення ефективності виробництва, пристосування структури національної економіки до глобальної конкуренції, підвищення рівня наукомісткості економіки, сприяння створенню нових видів бізнесу, запровадженню міжнародних екологічних стандартів виробництва.</w:t>
      </w:r>
    </w:p>
    <w:p w14:paraId="178315F4" w14:textId="3EED899C"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Сьогодні термін «зелена економіка» стає досить популярним, але й досі немає цілісного бачення цього процесу як в змістовому, так і операційному плані. Суть її – зміна суспільних інтересів щодо пошуку інноваційних шляхів екологічно орієнтованого розвитку. Це не лише розвиток науки та її прикладних досліджень для оновлення (модернізації) засобів виробництва на основі найсучасніших технологій, що супроводжується проникненням новітніх розробок науки та техніки у сферу комунікації (інформаційне суспільство) та інші сфери життя, а й результат проведення комплексних інституційних реформ і трансформації еколого-економічних відносин.</w:t>
      </w:r>
    </w:p>
    <w:p w14:paraId="1AEDE2A5" w14:textId="39C4EBE1"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 xml:space="preserve">При цьому є деякі відмінності у визначенні понять </w:t>
      </w:r>
      <w:r w:rsidRPr="00F1240A">
        <w:rPr>
          <w:rFonts w:ascii="Times New Roman" w:hAnsi="Times New Roman" w:cs="Times New Roman"/>
          <w:b/>
          <w:sz w:val="20"/>
          <w:szCs w:val="20"/>
        </w:rPr>
        <w:t xml:space="preserve">«зелена» економіка </w:t>
      </w:r>
      <w:r w:rsidRPr="00F1240A">
        <w:rPr>
          <w:rFonts w:ascii="Times New Roman" w:hAnsi="Times New Roman" w:cs="Times New Roman"/>
          <w:sz w:val="20"/>
          <w:szCs w:val="20"/>
        </w:rPr>
        <w:t xml:space="preserve">та </w:t>
      </w:r>
      <w:r w:rsidRPr="00F1240A">
        <w:rPr>
          <w:rFonts w:ascii="Times New Roman" w:hAnsi="Times New Roman" w:cs="Times New Roman"/>
          <w:b/>
          <w:sz w:val="20"/>
          <w:szCs w:val="20"/>
        </w:rPr>
        <w:t>«зелене» зростання</w:t>
      </w:r>
      <w:r w:rsidRPr="00F1240A">
        <w:rPr>
          <w:rFonts w:ascii="Times New Roman" w:hAnsi="Times New Roman" w:cs="Times New Roman"/>
          <w:sz w:val="20"/>
          <w:szCs w:val="20"/>
        </w:rPr>
        <w:t>.</w:t>
      </w:r>
    </w:p>
    <w:p w14:paraId="331CA5D7" w14:textId="3B837C09"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 xml:space="preserve">Існує декілька тлумачень категорії </w:t>
      </w:r>
      <w:r w:rsidRPr="00F1240A">
        <w:rPr>
          <w:rFonts w:ascii="Times New Roman" w:hAnsi="Times New Roman" w:cs="Times New Roman"/>
          <w:b/>
          <w:sz w:val="20"/>
          <w:szCs w:val="20"/>
        </w:rPr>
        <w:t xml:space="preserve">«зелене» зростання </w:t>
      </w:r>
      <w:r w:rsidRPr="00F1240A">
        <w:rPr>
          <w:rFonts w:ascii="Times New Roman" w:hAnsi="Times New Roman" w:cs="Times New Roman"/>
          <w:sz w:val="20"/>
          <w:szCs w:val="20"/>
        </w:rPr>
        <w:t>в останніх публікаціях міжнародних організацій та окремих авторів. За визначенням ОЕСР, «зелене» зростання спрямоване на виявлення більш екологічно чистих джерел зростання, включаючи можливості розвитку нових екологічно орієнтованих галузей, створення робочих місць і технологій та водночас управління структурними змінами для переходу до більш «зеленої» економіки.</w:t>
      </w:r>
    </w:p>
    <w:p w14:paraId="6D12F109" w14:textId="4A3F7D85"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 xml:space="preserve">Таким чином, дві </w:t>
      </w:r>
      <w:r w:rsidRPr="00F1240A">
        <w:rPr>
          <w:rFonts w:ascii="Times New Roman" w:hAnsi="Times New Roman" w:cs="Times New Roman"/>
          <w:b/>
          <w:sz w:val="20"/>
          <w:szCs w:val="20"/>
        </w:rPr>
        <w:t xml:space="preserve">нові парадигми – стійкість </w:t>
      </w:r>
      <w:r w:rsidRPr="00F1240A">
        <w:rPr>
          <w:rFonts w:ascii="Times New Roman" w:hAnsi="Times New Roman" w:cs="Times New Roman"/>
          <w:sz w:val="20"/>
          <w:szCs w:val="20"/>
        </w:rPr>
        <w:t xml:space="preserve">і </w:t>
      </w:r>
      <w:r w:rsidRPr="00F1240A">
        <w:rPr>
          <w:rFonts w:ascii="Times New Roman" w:hAnsi="Times New Roman" w:cs="Times New Roman"/>
          <w:b/>
          <w:sz w:val="20"/>
          <w:szCs w:val="20"/>
        </w:rPr>
        <w:t xml:space="preserve">«зелене» зростання» </w:t>
      </w:r>
      <w:r w:rsidRPr="00F1240A">
        <w:rPr>
          <w:rFonts w:ascii="Times New Roman" w:hAnsi="Times New Roman" w:cs="Times New Roman"/>
          <w:sz w:val="20"/>
          <w:szCs w:val="20"/>
        </w:rPr>
        <w:t>– є основою нещодавно представленої програми сталого розвитку. При цьому особливої актуальності набуває управління охороною довкілля, раціональним використанням природних ресурсів та безпекою життєдіяльності людини, значущість якого зростає в умовах децентралізації управління та підвищення ролі соціально-економічного розвитку регіонів</w:t>
      </w:r>
    </w:p>
    <w:p w14:paraId="0AB5CE80" w14:textId="00BF20E6"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У нещодавно поширеному документі UNEP підкреслено взаємозв'язок між поняттями «зеленої» економіки та сталого розвитку.</w:t>
      </w:r>
    </w:p>
    <w:p w14:paraId="7BBFAB16" w14:textId="1131EAB0" w:rsidR="00B56384" w:rsidRPr="00F1240A" w:rsidRDefault="00EC4E9E" w:rsidP="0012192B">
      <w:pPr>
        <w:adjustRightInd w:val="0"/>
        <w:snapToGrid w:val="0"/>
        <w:spacing w:after="0" w:line="240" w:lineRule="auto"/>
        <w:ind w:firstLine="567"/>
        <w:jc w:val="both"/>
        <w:rPr>
          <w:rFonts w:ascii="Times New Roman" w:hAnsi="Times New Roman" w:cs="Times New Roman"/>
          <w:b/>
          <w:bCs/>
          <w:sz w:val="20"/>
          <w:szCs w:val="20"/>
        </w:rPr>
      </w:pPr>
      <w:r>
        <w:rPr>
          <w:rFonts w:ascii="Times New Roman" w:hAnsi="Times New Roman" w:cs="Times New Roman"/>
          <w:b/>
          <w:bCs/>
          <w:sz w:val="20"/>
          <w:szCs w:val="20"/>
        </w:rPr>
        <w:lastRenderedPageBreak/>
        <w:t>З</w:t>
      </w:r>
      <w:r w:rsidR="00B56384" w:rsidRPr="00F1240A">
        <w:rPr>
          <w:rFonts w:ascii="Times New Roman" w:hAnsi="Times New Roman" w:cs="Times New Roman"/>
          <w:b/>
          <w:bCs/>
          <w:sz w:val="20"/>
          <w:szCs w:val="20"/>
        </w:rPr>
        <w:t>авдання, відмінні риси та шляхи досягнення «зеленого» зростання.</w:t>
      </w:r>
    </w:p>
    <w:p w14:paraId="031359BE" w14:textId="3F5DD944"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«Зелена» економіка відповідно до ідеології «Зеленого» Нового курсу ЮНЕП</w:t>
      </w:r>
    </w:p>
    <w:p w14:paraId="2437043F" w14:textId="509880D8"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потребує структурних змін на всіх рівнях політики для забезпечення чотирьох завдань:</w:t>
      </w:r>
    </w:p>
    <w:p w14:paraId="6DAAB043" w14:textId="451F4708" w:rsidR="00B56384" w:rsidRPr="00F1240A" w:rsidRDefault="00B56384" w:rsidP="00030A38">
      <w:pPr>
        <w:numPr>
          <w:ilvl w:val="0"/>
          <w:numId w:val="11"/>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трансформувати</w:t>
      </w:r>
      <w:r w:rsidR="009C2BC3">
        <w:rPr>
          <w:rFonts w:ascii="Times New Roman" w:hAnsi="Times New Roman" w:cs="Times New Roman"/>
          <w:sz w:val="20"/>
          <w:szCs w:val="20"/>
        </w:rPr>
        <w:t xml:space="preserve"> </w:t>
      </w:r>
      <w:r w:rsidRPr="00F1240A">
        <w:rPr>
          <w:rFonts w:ascii="Times New Roman" w:hAnsi="Times New Roman" w:cs="Times New Roman"/>
          <w:sz w:val="20"/>
          <w:szCs w:val="20"/>
        </w:rPr>
        <w:t>неефективні виробничі структури шляхом реформування податково-бюджетних інструментів сприяння зеленому зростанню, зменшення бар’єрів та зміцнення ринків для зелених товарів, послуг і технологій;</w:t>
      </w:r>
    </w:p>
    <w:p w14:paraId="4838F034" w14:textId="3BA1B0D5" w:rsidR="00B56384" w:rsidRPr="00F1240A" w:rsidRDefault="00B56384" w:rsidP="00030A38">
      <w:pPr>
        <w:numPr>
          <w:ilvl w:val="0"/>
          <w:numId w:val="11"/>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побудувати еко-ефективну інфраструктуру;</w:t>
      </w:r>
    </w:p>
    <w:p w14:paraId="4B63CA17" w14:textId="4509A123" w:rsidR="00B56384" w:rsidRPr="00F1240A" w:rsidRDefault="00B56384" w:rsidP="00030A38">
      <w:pPr>
        <w:numPr>
          <w:ilvl w:val="0"/>
          <w:numId w:val="11"/>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змінити поведінку споживачів, забезпечивши для них правильні середньострокові та довгострокові орієнтири;</w:t>
      </w:r>
    </w:p>
    <w:p w14:paraId="4E4CADF8" w14:textId="1D7799AD" w:rsidR="00B56384" w:rsidRPr="00F1240A" w:rsidRDefault="00B56384" w:rsidP="00030A38">
      <w:pPr>
        <w:numPr>
          <w:ilvl w:val="0"/>
          <w:numId w:val="11"/>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сприяти інноваціям і більш чистим технологіям на підтримку зеленого зростання.</w:t>
      </w:r>
    </w:p>
    <w:p w14:paraId="6EBAE639" w14:textId="77777777"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Однією  з  ключових  характеристик</w:t>
      </w:r>
    </w:p>
    <w:p w14:paraId="131EFE76" w14:textId="39621178"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 xml:space="preserve">«зеленого» зростання є явище так званого «розмежування», коли тиск на довкілля менший від показників економічного зростання за певний період часу. При цьому пропонується використовувати категорію </w:t>
      </w:r>
      <w:r w:rsidRPr="00F1240A">
        <w:rPr>
          <w:rFonts w:ascii="Times New Roman" w:hAnsi="Times New Roman" w:cs="Times New Roman"/>
          <w:b/>
          <w:sz w:val="20"/>
          <w:szCs w:val="20"/>
        </w:rPr>
        <w:t xml:space="preserve">«природний капітал» (Natural capital) </w:t>
      </w:r>
      <w:r w:rsidRPr="00F1240A">
        <w:rPr>
          <w:rFonts w:ascii="Times New Roman" w:hAnsi="Times New Roman" w:cs="Times New Roman"/>
          <w:sz w:val="20"/>
          <w:szCs w:val="20"/>
        </w:rPr>
        <w:t>замість категорії «природні ресурси», що віддзеркалює зміну ролі природи в економіці – від пасивної до активної ролі як джерела вартості.</w:t>
      </w:r>
    </w:p>
    <w:p w14:paraId="2714C21F" w14:textId="3CD8788D"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У доповідях ЮНЕП наголошується, що підтримка екологічного вектора розвитку промисловості сама по собі є недостатньою, оскільки «зелене» економічне зростання може стати шкідливим, якщо воно сприятиме лише збільшенню і так незбалансовано високого рівня споживання природних ресурсів. Мова повинна йти про масштабне ресурсозбереження та низьковуглецевий розвиток.</w:t>
      </w:r>
    </w:p>
    <w:p w14:paraId="6267DD27" w14:textId="16F8F50F"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 xml:space="preserve">Якщо розглядати </w:t>
      </w:r>
      <w:r w:rsidRPr="00F1240A">
        <w:rPr>
          <w:rFonts w:ascii="Times New Roman" w:hAnsi="Times New Roman" w:cs="Times New Roman"/>
          <w:b/>
          <w:sz w:val="20"/>
          <w:szCs w:val="20"/>
        </w:rPr>
        <w:t xml:space="preserve">відмінності </w:t>
      </w:r>
      <w:r w:rsidRPr="00F1240A">
        <w:rPr>
          <w:rFonts w:ascii="Times New Roman" w:hAnsi="Times New Roman" w:cs="Times New Roman"/>
          <w:sz w:val="20"/>
          <w:szCs w:val="20"/>
        </w:rPr>
        <w:t>сучасних ідеологій суспільного розвитку, то варто зазначити, що сталий (стійкий) розвиток передбачає синергію трьох компонентів – економічного, соціального та екологічного. Концепція «зеленої економіки» покликана забезпечити більш гармонійне узгодження між цими компонентами, перш за все за рахунок ресурсота енергоефективності, а також участі бізнес-сектору.</w:t>
      </w:r>
    </w:p>
    <w:p w14:paraId="0C2D0B13" w14:textId="69ECEA0A" w:rsidR="00B56384" w:rsidRPr="00F1240A" w:rsidRDefault="00B56384" w:rsidP="00780268">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Аналізуючи теоретичний наробок міжнародних інститутів, можна констатувати, що відмінними рисами зеленої економіки є такі:</w:t>
      </w:r>
    </w:p>
    <w:p w14:paraId="370E8D7A" w14:textId="4A1CEEAC" w:rsidR="00B56384" w:rsidRPr="00F1240A" w:rsidRDefault="00B56384" w:rsidP="00030A38">
      <w:pPr>
        <w:numPr>
          <w:ilvl w:val="0"/>
          <w:numId w:val="10"/>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економічне зростання має забезпечуватися при менш інтенсивному споживанні сировини та енергії в усіх секторах економіки за принципом «створювати більше вартості за меншого впливу» (англ. «creating more value with less impact»);</w:t>
      </w:r>
    </w:p>
    <w:p w14:paraId="4456564A" w14:textId="77777777" w:rsidR="00B56384" w:rsidRPr="00F1240A" w:rsidRDefault="00B56384" w:rsidP="00030A38">
      <w:pPr>
        <w:numPr>
          <w:ilvl w:val="0"/>
          <w:numId w:val="10"/>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головну роль у переході на засади</w:t>
      </w:r>
    </w:p>
    <w:p w14:paraId="3F392DF9" w14:textId="38488168"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 xml:space="preserve">«зеленої» економіки відіграє державна політика стимулювання розвитку «зелених» видів діяльності, обмеження субсидій на підтримку забруднювальних довкілля «коричневих» виробництв, упровадження більш </w:t>
      </w:r>
      <w:r w:rsidRPr="00F1240A">
        <w:rPr>
          <w:rFonts w:ascii="Times New Roman" w:hAnsi="Times New Roman" w:cs="Times New Roman"/>
          <w:sz w:val="20"/>
          <w:szCs w:val="20"/>
        </w:rPr>
        <w:lastRenderedPageBreak/>
        <w:t>жорстких екологічних стандартів та відповідальності виробників і споживачів, продуманої системи державного регулювання та інвестицій;</w:t>
      </w:r>
    </w:p>
    <w:p w14:paraId="0FA5822D" w14:textId="3E97F377" w:rsidR="00B56384" w:rsidRPr="00F1240A" w:rsidRDefault="00B56384" w:rsidP="00030A38">
      <w:pPr>
        <w:numPr>
          <w:ilvl w:val="0"/>
          <w:numId w:val="10"/>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упровадження більш чистих технологій відкриває нові можливості зростання в «зелених» напрямах, компенсуючи втрату робочих місць у коричневих секторах;</w:t>
      </w:r>
    </w:p>
    <w:p w14:paraId="5B7FAE38" w14:textId="2F8BBB30" w:rsidR="00B56384" w:rsidRPr="00F1240A" w:rsidRDefault="00B56384" w:rsidP="00030A38">
      <w:pPr>
        <w:numPr>
          <w:ilvl w:val="0"/>
          <w:numId w:val="10"/>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активізація інвестування в підвищення енергоефективності, відновлювальну енергетику та управління відходами створює базис для розгортання підприємництва, інновацій та росту зайнятості на 20% до 2050 року порівняно зі звичайним сценарієм.</w:t>
      </w:r>
    </w:p>
    <w:p w14:paraId="4C4B8B2F" w14:textId="7BA7C25F"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Інструментом «зеленої» економіки є здійснення цілої низки реформ, спрямованих на запровадження найбільш ефективних принципів, механізмів та моделей управління соціально-економічними процесами в країнах світу. При цьому безумовним імперативом суспільства має стати практична реалізація моделі сталого розвитку, що забезпечує інтегральне поєднання економічної ефективності, соціальної справедливості, ресурсної збалансованості та екобезпеки.</w:t>
      </w:r>
    </w:p>
    <w:p w14:paraId="221D44CC" w14:textId="2FD4C5FC" w:rsidR="00B56384" w:rsidRPr="00F1240A" w:rsidRDefault="00B56384" w:rsidP="0097427C">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Чи вигідна «зелена» економіка з точки зору фінансистів? Екологічний проект ООН під назвою Green Economy Initiative доводить, що впровадження зеленої економіки є не лише запорукою збереження чистого довкілля, а й передбачає  досягнення  низки  цілей  суто</w:t>
      </w:r>
      <w:r w:rsidR="0097427C" w:rsidRPr="00F1240A">
        <w:rPr>
          <w:rFonts w:ascii="Times New Roman" w:hAnsi="Times New Roman" w:cs="Times New Roman"/>
          <w:sz w:val="20"/>
          <w:szCs w:val="20"/>
        </w:rPr>
        <w:t xml:space="preserve"> </w:t>
      </w:r>
      <w:r w:rsidRPr="00F1240A">
        <w:rPr>
          <w:rFonts w:ascii="Times New Roman" w:hAnsi="Times New Roman" w:cs="Times New Roman"/>
          <w:sz w:val="20"/>
          <w:szCs w:val="20"/>
        </w:rPr>
        <w:t>економічного характеру, зокрема, створення нових робочих місць, збільшення виробництва одночасно зі зменшенням використання природних ресурсів, можливість ефективної переробки відходів.</w:t>
      </w:r>
    </w:p>
    <w:p w14:paraId="57E50041" w14:textId="10BC22B3"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Значний внесок тут належить саме країнам з перехідною економікою. Конструктивно адаптуючи світовий досвід «зеленої» моделі розвитку до національних умов, вони почнуть відігравати дедалі важливішу роль у розробленні міжнародної політики в цій сфері.</w:t>
      </w:r>
    </w:p>
    <w:p w14:paraId="074795A8" w14:textId="1C8BF1D0"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На сьогодні ідеологами «зеленої» економіки декларуються такі кроки щодо сприяння її розвитку:</w:t>
      </w:r>
    </w:p>
    <w:p w14:paraId="604511EA" w14:textId="3FC888A9" w:rsidR="00B56384" w:rsidRPr="00F1240A" w:rsidRDefault="00B56384" w:rsidP="00030A38">
      <w:pPr>
        <w:numPr>
          <w:ilvl w:val="0"/>
          <w:numId w:val="9"/>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перехід до економіки відновлюваних енергетичних ресурсів;</w:t>
      </w:r>
    </w:p>
    <w:p w14:paraId="54CD2D93" w14:textId="21EAE40A" w:rsidR="00B56384" w:rsidRPr="00F1240A" w:rsidRDefault="00B56384" w:rsidP="00030A38">
      <w:pPr>
        <w:numPr>
          <w:ilvl w:val="0"/>
          <w:numId w:val="9"/>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упровадження</w:t>
      </w:r>
      <w:r w:rsidR="00270D43" w:rsidRPr="00C37F1C">
        <w:rPr>
          <w:rFonts w:ascii="Times New Roman" w:hAnsi="Times New Roman" w:cs="Times New Roman"/>
          <w:sz w:val="20"/>
          <w:szCs w:val="20"/>
        </w:rPr>
        <w:t xml:space="preserve"> </w:t>
      </w:r>
      <w:r w:rsidRPr="00F1240A">
        <w:rPr>
          <w:rFonts w:ascii="Times New Roman" w:hAnsi="Times New Roman" w:cs="Times New Roman"/>
          <w:sz w:val="20"/>
          <w:szCs w:val="20"/>
        </w:rPr>
        <w:t>ресурсоощадних технологій та більш чистих виробництв;</w:t>
      </w:r>
    </w:p>
    <w:p w14:paraId="5E5A4BFF" w14:textId="5D9D8E2F" w:rsidR="00B56384" w:rsidRPr="00F1240A" w:rsidRDefault="00B56384" w:rsidP="00030A38">
      <w:pPr>
        <w:numPr>
          <w:ilvl w:val="0"/>
          <w:numId w:val="9"/>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інвестиції</w:t>
      </w:r>
      <w:r w:rsidR="009C2BC3">
        <w:rPr>
          <w:rFonts w:ascii="Times New Roman" w:hAnsi="Times New Roman" w:cs="Times New Roman"/>
          <w:sz w:val="20"/>
          <w:szCs w:val="20"/>
        </w:rPr>
        <w:t xml:space="preserve"> </w:t>
      </w:r>
      <w:r w:rsidRPr="00F1240A">
        <w:rPr>
          <w:rFonts w:ascii="Times New Roman" w:hAnsi="Times New Roman" w:cs="Times New Roman"/>
          <w:sz w:val="20"/>
          <w:szCs w:val="20"/>
        </w:rPr>
        <w:t>в</w:t>
      </w:r>
      <w:r w:rsidR="00270D43" w:rsidRPr="00C37F1C">
        <w:rPr>
          <w:rFonts w:ascii="Times New Roman" w:hAnsi="Times New Roman" w:cs="Times New Roman"/>
          <w:sz w:val="20"/>
          <w:szCs w:val="20"/>
        </w:rPr>
        <w:t xml:space="preserve"> </w:t>
      </w:r>
      <w:r w:rsidRPr="00F1240A">
        <w:rPr>
          <w:rFonts w:ascii="Times New Roman" w:hAnsi="Times New Roman" w:cs="Times New Roman"/>
          <w:sz w:val="20"/>
          <w:szCs w:val="20"/>
        </w:rPr>
        <w:t>розвиток</w:t>
      </w:r>
      <w:r w:rsidR="00270D43" w:rsidRPr="00C37F1C">
        <w:rPr>
          <w:rFonts w:ascii="Times New Roman" w:hAnsi="Times New Roman" w:cs="Times New Roman"/>
          <w:sz w:val="20"/>
          <w:szCs w:val="20"/>
        </w:rPr>
        <w:t xml:space="preserve"> </w:t>
      </w:r>
      <w:r w:rsidRPr="00F1240A">
        <w:rPr>
          <w:rFonts w:ascii="Times New Roman" w:hAnsi="Times New Roman" w:cs="Times New Roman"/>
          <w:sz w:val="20"/>
          <w:szCs w:val="20"/>
        </w:rPr>
        <w:t>зеленої інфраструктури;</w:t>
      </w:r>
    </w:p>
    <w:p w14:paraId="49226F8B" w14:textId="54ED8970" w:rsidR="00B56384" w:rsidRPr="00F1240A" w:rsidRDefault="00B56384" w:rsidP="00030A38">
      <w:pPr>
        <w:numPr>
          <w:ilvl w:val="0"/>
          <w:numId w:val="9"/>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забезпечення</w:t>
      </w:r>
      <w:r w:rsidR="00270D43" w:rsidRPr="00F1240A">
        <w:rPr>
          <w:rFonts w:ascii="Times New Roman" w:hAnsi="Times New Roman" w:cs="Times New Roman"/>
          <w:sz w:val="20"/>
          <w:szCs w:val="20"/>
          <w:lang w:val="en-US"/>
        </w:rPr>
        <w:t xml:space="preserve"> </w:t>
      </w:r>
      <w:r w:rsidRPr="00F1240A">
        <w:rPr>
          <w:rFonts w:ascii="Times New Roman" w:hAnsi="Times New Roman" w:cs="Times New Roman"/>
          <w:sz w:val="20"/>
          <w:szCs w:val="20"/>
        </w:rPr>
        <w:t>вторинного</w:t>
      </w:r>
      <w:r w:rsidR="00270D43" w:rsidRPr="00F1240A">
        <w:rPr>
          <w:rFonts w:ascii="Times New Roman" w:hAnsi="Times New Roman" w:cs="Times New Roman"/>
          <w:sz w:val="20"/>
          <w:szCs w:val="20"/>
          <w:lang w:val="en-US"/>
        </w:rPr>
        <w:t xml:space="preserve"> </w:t>
      </w:r>
      <w:r w:rsidRPr="00F1240A">
        <w:rPr>
          <w:rFonts w:ascii="Times New Roman" w:hAnsi="Times New Roman" w:cs="Times New Roman"/>
          <w:sz w:val="20"/>
          <w:szCs w:val="20"/>
        </w:rPr>
        <w:t>використання ресурсів;</w:t>
      </w:r>
    </w:p>
    <w:p w14:paraId="491E15A4" w14:textId="0B2F9BE8" w:rsidR="00B56384" w:rsidRPr="00F1240A" w:rsidRDefault="00B56384" w:rsidP="00030A38">
      <w:pPr>
        <w:numPr>
          <w:ilvl w:val="0"/>
          <w:numId w:val="9"/>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поширення добробуту у своїй країні та за її межами.</w:t>
      </w:r>
    </w:p>
    <w:p w14:paraId="22310EDE" w14:textId="30ADE7D2"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Одночасно на тлі перетворень, яких зазнала країна, треба визнати, що в умовах глобалізації екологічних проблем відбувається усвідомлення неадекватності чинної моделі економічного зростання вимогам переходу до моделі сталого розвитку та необхідності формування основ</w:t>
      </w:r>
    </w:p>
    <w:p w14:paraId="4F142FC4" w14:textId="0F1C28DB"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 xml:space="preserve">«зеленої» економіки. Розвиток територіальних угрупувань неможливо представити поза домінантною сьогодні на Заході ідеологією «зеленого» зростання, яка стала орієнтиром для залучення інвестицій . На відміну від </w:t>
      </w:r>
      <w:r w:rsidRPr="00F1240A">
        <w:rPr>
          <w:rFonts w:ascii="Times New Roman" w:hAnsi="Times New Roman" w:cs="Times New Roman"/>
          <w:sz w:val="20"/>
          <w:szCs w:val="20"/>
        </w:rPr>
        <w:lastRenderedPageBreak/>
        <w:t>парадигми сталого розвитку головні нововведення концепцій «зеленої» економіки та «зеленого» зростання полягають у:</w:t>
      </w:r>
    </w:p>
    <w:p w14:paraId="5479593B" w14:textId="3B0A3189" w:rsidR="00B56384" w:rsidRPr="00F1240A" w:rsidRDefault="00B56384" w:rsidP="00030A38">
      <w:pPr>
        <w:numPr>
          <w:ilvl w:val="0"/>
          <w:numId w:val="9"/>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запровадженні стимулів для підвищення ефективності використання ресурсів, енергоспоживання, скорочення та перероблення відходів;</w:t>
      </w:r>
    </w:p>
    <w:p w14:paraId="4E60FCE8" w14:textId="4224D41A" w:rsidR="00B56384" w:rsidRPr="00F1240A" w:rsidRDefault="00B56384" w:rsidP="00030A38">
      <w:pPr>
        <w:numPr>
          <w:ilvl w:val="0"/>
          <w:numId w:val="9"/>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створенні умов для інновацій та нових технічних рішень у процесах виробництва та споживання ресурсів, розвитку і впровадження більш чистих технологій;</w:t>
      </w:r>
    </w:p>
    <w:p w14:paraId="79D32D44" w14:textId="5787EE7E" w:rsidR="00B56384" w:rsidRPr="00F1240A" w:rsidRDefault="00B56384" w:rsidP="00030A38">
      <w:pPr>
        <w:numPr>
          <w:ilvl w:val="0"/>
          <w:numId w:val="9"/>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забезпеченні структурних зрушень щодо розширення «зелених» видів діяльності з одночасним скороченням частки традиційних коричневих секторів;</w:t>
      </w:r>
    </w:p>
    <w:p w14:paraId="357C7381" w14:textId="77777777" w:rsidR="00B56384" w:rsidRPr="00F1240A" w:rsidRDefault="00B56384" w:rsidP="00030A38">
      <w:pPr>
        <w:numPr>
          <w:ilvl w:val="0"/>
          <w:numId w:val="9"/>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створенні ринків для «зелених» технологій, товарів та послуг, «зеленої» зайнятості;</w:t>
      </w:r>
    </w:p>
    <w:p w14:paraId="0267E1A0" w14:textId="77777777" w:rsidR="00B56384" w:rsidRPr="00F1240A" w:rsidRDefault="00B56384" w:rsidP="00030A38">
      <w:pPr>
        <w:numPr>
          <w:ilvl w:val="0"/>
          <w:numId w:val="9"/>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розвитку зеленого бізнесу;</w:t>
      </w:r>
    </w:p>
    <w:p w14:paraId="66476EB8" w14:textId="14D54B9E" w:rsidR="00B56384" w:rsidRPr="00F1240A" w:rsidRDefault="00B56384" w:rsidP="00030A38">
      <w:pPr>
        <w:numPr>
          <w:ilvl w:val="0"/>
          <w:numId w:val="9"/>
        </w:numPr>
        <w:adjustRightInd w:val="0"/>
        <w:snapToGrid w:val="0"/>
        <w:spacing w:after="0" w:line="240" w:lineRule="auto"/>
        <w:ind w:left="0" w:firstLine="567"/>
        <w:jc w:val="both"/>
        <w:rPr>
          <w:rFonts w:ascii="Times New Roman" w:hAnsi="Times New Roman" w:cs="Times New Roman"/>
          <w:sz w:val="20"/>
          <w:szCs w:val="20"/>
        </w:rPr>
      </w:pPr>
      <w:r w:rsidRPr="00F1240A">
        <w:rPr>
          <w:rFonts w:ascii="Times New Roman" w:hAnsi="Times New Roman" w:cs="Times New Roman"/>
          <w:sz w:val="20"/>
          <w:szCs w:val="20"/>
        </w:rPr>
        <w:t>формуванні фінансових інституцій та механізмів інвестування у сферу екологічної інфраструктури.</w:t>
      </w:r>
    </w:p>
    <w:p w14:paraId="19A1C8C8" w14:textId="4A29C0C4" w:rsidR="00B56384" w:rsidRPr="00F1240A" w:rsidRDefault="00B56384" w:rsidP="00A60641">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Хоча перехід до «зеленої» економіки вимагає значних інвестицій, залучити їх допоможе продумана державна політика та інноваційні механізми фінансування. Швидке зростання ринків капіталу, удосконалення таких нових ринкових інструментів, як торгівля квотами на викиди вуглецю та мікрофінансування, а також фонди стимулювання «зеленої» економіки, що впроваджуються у відповідь на економічний спад останніх років, відкривають шлях до великомасштабного фінансування глобального  переходу  економіки  на</w:t>
      </w:r>
      <w:r w:rsidR="00A60641">
        <w:rPr>
          <w:rFonts w:ascii="Times New Roman" w:hAnsi="Times New Roman" w:cs="Times New Roman"/>
          <w:sz w:val="20"/>
          <w:szCs w:val="20"/>
        </w:rPr>
        <w:t xml:space="preserve"> </w:t>
      </w:r>
      <w:r w:rsidRPr="00F1240A">
        <w:rPr>
          <w:rFonts w:ascii="Times New Roman" w:hAnsi="Times New Roman" w:cs="Times New Roman"/>
          <w:sz w:val="20"/>
          <w:szCs w:val="20"/>
        </w:rPr>
        <w:t>«зелені» рейки.</w:t>
      </w:r>
    </w:p>
    <w:p w14:paraId="6EA0540E" w14:textId="5719EF4D" w:rsidR="00B56384" w:rsidRPr="00F1240A" w:rsidRDefault="00B56384" w:rsidP="0012192B">
      <w:pPr>
        <w:adjustRightInd w:val="0"/>
        <w:snapToGrid w:val="0"/>
        <w:spacing w:after="0" w:line="240" w:lineRule="auto"/>
        <w:ind w:firstLine="567"/>
        <w:jc w:val="both"/>
        <w:rPr>
          <w:rFonts w:ascii="Times New Roman" w:hAnsi="Times New Roman" w:cs="Times New Roman"/>
          <w:sz w:val="20"/>
          <w:szCs w:val="20"/>
        </w:rPr>
      </w:pPr>
      <w:r w:rsidRPr="00F1240A">
        <w:rPr>
          <w:rFonts w:ascii="Times New Roman" w:hAnsi="Times New Roman" w:cs="Times New Roman"/>
          <w:sz w:val="20"/>
          <w:szCs w:val="20"/>
        </w:rPr>
        <w:t>Один з головних висновків ЮНЕП – перехід до зеленої економіки стимулює зростання, доходи і зайнятість, а проблема подолання суперечностей і знаходження компромісу між економічним зростанням та екологічною стабільністю є, імовірніше, міфом та наслідком недостатньо якісного державного управління. Курс на «зелений» розвиток повинен слугувати каталізатором інвестицій та інновацій, які ляжуть в основу сталого зростання та сприятимуть виникненню нових економічних можливостей.</w:t>
      </w:r>
    </w:p>
    <w:p w14:paraId="5505BC06" w14:textId="08BAA526" w:rsidR="003B7034" w:rsidRPr="00F1240A" w:rsidRDefault="003B7034" w:rsidP="0012192B">
      <w:pPr>
        <w:adjustRightInd w:val="0"/>
        <w:snapToGrid w:val="0"/>
        <w:spacing w:after="0" w:line="240" w:lineRule="auto"/>
        <w:ind w:firstLine="567"/>
        <w:jc w:val="both"/>
        <w:rPr>
          <w:rFonts w:ascii="Times New Roman" w:hAnsi="Times New Roman" w:cs="Times New Roman"/>
          <w:sz w:val="20"/>
          <w:szCs w:val="20"/>
        </w:rPr>
      </w:pPr>
    </w:p>
    <w:p w14:paraId="0DF5928A" w14:textId="20EB6CE9" w:rsidR="0097427C" w:rsidRDefault="003B7034" w:rsidP="003B7034">
      <w:pPr>
        <w:rPr>
          <w:rFonts w:ascii="Times New Roman" w:hAnsi="Times New Roman" w:cs="Times New Roman"/>
          <w:sz w:val="16"/>
          <w:szCs w:val="16"/>
        </w:rPr>
      </w:pPr>
      <w:r>
        <w:rPr>
          <w:rFonts w:ascii="Times New Roman" w:hAnsi="Times New Roman" w:cs="Times New Roman"/>
          <w:sz w:val="16"/>
          <w:szCs w:val="16"/>
        </w:rPr>
        <w:br w:type="page"/>
      </w:r>
    </w:p>
    <w:p w14:paraId="56B8691A" w14:textId="08149312" w:rsidR="002F0C66" w:rsidRPr="00CC4B72" w:rsidRDefault="002F0C66" w:rsidP="002F0C66">
      <w:pPr>
        <w:adjustRightInd w:val="0"/>
        <w:snapToGrid w:val="0"/>
        <w:spacing w:after="0" w:line="240" w:lineRule="auto"/>
        <w:ind w:firstLine="567"/>
        <w:jc w:val="both"/>
        <w:rPr>
          <w:rFonts w:ascii="Times New Roman" w:hAnsi="Times New Roman" w:cs="Times New Roman"/>
          <w:b/>
          <w:sz w:val="20"/>
          <w:szCs w:val="20"/>
        </w:rPr>
      </w:pPr>
      <w:r w:rsidRPr="00CC4B72">
        <w:rPr>
          <w:rFonts w:ascii="Times New Roman" w:hAnsi="Times New Roman" w:cs="Times New Roman"/>
          <w:b/>
          <w:bCs/>
          <w:sz w:val="20"/>
          <w:szCs w:val="20"/>
        </w:rPr>
        <w:lastRenderedPageBreak/>
        <w:t xml:space="preserve">Тема </w:t>
      </w:r>
      <w:r w:rsidR="006B062A">
        <w:rPr>
          <w:rFonts w:ascii="Times New Roman" w:hAnsi="Times New Roman" w:cs="Times New Roman"/>
          <w:b/>
          <w:bCs/>
          <w:sz w:val="20"/>
          <w:szCs w:val="20"/>
        </w:rPr>
        <w:t>2</w:t>
      </w:r>
      <w:r w:rsidRPr="00CC4B72">
        <w:rPr>
          <w:rFonts w:ascii="Times New Roman" w:hAnsi="Times New Roman" w:cs="Times New Roman"/>
          <w:b/>
          <w:bCs/>
          <w:sz w:val="20"/>
          <w:szCs w:val="20"/>
        </w:rPr>
        <w:t xml:space="preserve">. </w:t>
      </w:r>
      <w:r w:rsidRPr="002F0C66">
        <w:rPr>
          <w:rFonts w:ascii="Times New Roman" w:hAnsi="Times New Roman" w:cs="Times New Roman"/>
          <w:b/>
          <w:bCs/>
          <w:sz w:val="20"/>
          <w:szCs w:val="20"/>
        </w:rPr>
        <w:t>Пріоритетні напрями розвитку «зеленої» економіки</w:t>
      </w:r>
    </w:p>
    <w:p w14:paraId="7BA4DFA3"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b/>
          <w:bCs/>
          <w:sz w:val="20"/>
          <w:szCs w:val="20"/>
        </w:rPr>
      </w:pPr>
      <w:r w:rsidRPr="00CC4B72">
        <w:rPr>
          <w:rFonts w:ascii="Times New Roman" w:hAnsi="Times New Roman" w:cs="Times New Roman"/>
          <w:sz w:val="20"/>
          <w:szCs w:val="20"/>
        </w:rPr>
        <w:t xml:space="preserve">Концепція «зеленого» зростання, запропонована  керівництвом  ООН як альтернатива світовій фінансовій кризі, підкреслює важливість інтеграції економічних та екологічних аспектів політики, що виявляє можливості для нових джерел економічного зростання, без тиску на кількість і якість природних багатств. До цього переліку належать заходи, які включають такі економічні інструменти, як </w:t>
      </w:r>
      <w:r w:rsidRPr="00CC4B72">
        <w:rPr>
          <w:rFonts w:ascii="Times New Roman" w:hAnsi="Times New Roman" w:cs="Times New Roman"/>
          <w:b/>
          <w:sz w:val="20"/>
          <w:szCs w:val="20"/>
        </w:rPr>
        <w:t>податки, схеми торгівлі викидами і скасування субсидій; а також заходи законодавчого регулювання</w:t>
      </w:r>
      <w:r w:rsidRPr="00CC4B72">
        <w:rPr>
          <w:rFonts w:ascii="Times New Roman" w:hAnsi="Times New Roman" w:cs="Times New Roman"/>
          <w:sz w:val="20"/>
          <w:szCs w:val="20"/>
        </w:rPr>
        <w:t>, такі як встановлення стандартів; до неекономічних заходів можна зарахувати добровільні дії та інструменти впливу на основі інформування.</w:t>
      </w:r>
    </w:p>
    <w:p w14:paraId="7F245E35"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Важливі напрями трансформації наявної економіки розкриті в Ініціативі продовольчої і сільськогосподарської організації ООН (ФАО), у якій «озеленення» економіки є можливим через розвиток сільського господарства й передбачає підвищення рівня економічної і, зокрема, продовольчої безпеки щодо наявності, доступу, стабільності та використання продовольства при одночасному зниженні інтенсивності використання природних ресурсів та за рахунок збільшення цінності харчового ланцюга. Такий результат може бути досягнутий шляхом застосування екосистемного підходу для управління сільським, лісовим та рибним господарствами, який дозволить задовольнити численні соціальні потреби, не ставлячи під загрозу можливості майбутніх поколінь отримувати вигоди від благ і послуг, що надаються екосистемами. ФАО в основі «зеленої» економіки вбачає сільське господарство й виробництво продовольства, що використовує понад 60% усіх світових екосистем .</w:t>
      </w:r>
    </w:p>
    <w:p w14:paraId="313F09F8"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 xml:space="preserve">МВФ заявляв про необхідність переходу до </w:t>
      </w:r>
      <w:r w:rsidRPr="00CC4B72">
        <w:rPr>
          <w:rFonts w:ascii="Times New Roman" w:hAnsi="Times New Roman" w:cs="Times New Roman"/>
          <w:b/>
          <w:sz w:val="20"/>
          <w:szCs w:val="20"/>
        </w:rPr>
        <w:t xml:space="preserve">низьковуглецевої моделі </w:t>
      </w:r>
      <w:r w:rsidRPr="00CC4B72">
        <w:rPr>
          <w:rFonts w:ascii="Times New Roman" w:hAnsi="Times New Roman" w:cs="Times New Roman"/>
          <w:sz w:val="20"/>
          <w:szCs w:val="20"/>
        </w:rPr>
        <w:t>зростання в період відновлення світової економіки після глобальної економічної кризи. Щоб сприяти фінансуванню цього переходу на рівні глобальної економіки, МВФ працює над створенням багатомільярдного «Зеленого Фонду», який зможе надавати величезні фінансові суми – до 100 млрд доларів США на рік протягом кількох років, необхідні країнам для розв’язання проблем зміни клімату та забезпечення «зеленого» зростання.</w:t>
      </w:r>
    </w:p>
    <w:p w14:paraId="5A6E4C87"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 xml:space="preserve">На думку експертів, </w:t>
      </w:r>
      <w:r w:rsidRPr="00CC4B72">
        <w:rPr>
          <w:rFonts w:ascii="Times New Roman" w:hAnsi="Times New Roman" w:cs="Times New Roman"/>
          <w:b/>
          <w:sz w:val="20"/>
          <w:szCs w:val="20"/>
        </w:rPr>
        <w:t xml:space="preserve">метою політики «зеленого» зростання </w:t>
      </w:r>
      <w:r w:rsidRPr="00CC4B72">
        <w:rPr>
          <w:rFonts w:ascii="Times New Roman" w:hAnsi="Times New Roman" w:cs="Times New Roman"/>
          <w:sz w:val="20"/>
          <w:szCs w:val="20"/>
        </w:rPr>
        <w:t>є створення доданої вартості з незначними втратами для довкілля, а також умов для інновацій та інвестицій, спроможних задіяти нові джерела економічного зростання. Політика «зеленого» зростання передбачає податкову реформу на основі реальної оцінки природного капіталу, розвиток еко-ефективної інфраструктури та «озеленення» промисловості з метою формування сталого споживання.</w:t>
      </w:r>
    </w:p>
    <w:p w14:paraId="547AC44A"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 xml:space="preserve">«Зелене» зростання передбачає стимулювання економічного розвитку, забезпечуючи при цьому збереження й відтворення природних активів, які продовжують надавати ресурси та екологічні послуги для забезпечення добробуту суспільства. Для цього таке зростання має стати каталізатором інвестицій та інновацій, що будуть основою сталого розвитку і сприятимуть </w:t>
      </w:r>
      <w:r w:rsidRPr="00CC4B72">
        <w:rPr>
          <w:rFonts w:ascii="Times New Roman" w:hAnsi="Times New Roman" w:cs="Times New Roman"/>
          <w:sz w:val="20"/>
          <w:szCs w:val="20"/>
        </w:rPr>
        <w:lastRenderedPageBreak/>
        <w:t>виникненню нових економічних можливостей. Для здійснення стратегії «зеленого» зростання потрібен інструментарій, пов’язаний з двома спектрами політичних заходів:</w:t>
      </w:r>
    </w:p>
    <w:p w14:paraId="04C91E48"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це рамкові умови, які забезпечують економічне зростання і збереження природного капіталу – ключові фінансові та регулятивні дії, такі як податкова і конкурентна політика. До цих дій треба додати політичні заходи, спрямовані на впровадження інновацій, що заохочують необхідну для економного та ефективного використання природного капіталу винахідливість;</w:t>
      </w:r>
    </w:p>
    <w:p w14:paraId="329B6A01"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w:t>
      </w:r>
      <w:r>
        <w:rPr>
          <w:rFonts w:ascii="Times New Roman" w:hAnsi="Times New Roman" w:cs="Times New Roman"/>
          <w:sz w:val="20"/>
          <w:szCs w:val="20"/>
        </w:rPr>
        <w:t xml:space="preserve"> </w:t>
      </w:r>
      <w:r w:rsidRPr="00CC4B72">
        <w:rPr>
          <w:rFonts w:ascii="Times New Roman" w:hAnsi="Times New Roman" w:cs="Times New Roman"/>
          <w:sz w:val="20"/>
          <w:szCs w:val="20"/>
        </w:rPr>
        <w:t>це політичні заходи, спрямовані на стимулювання ефективного використання природних ресурсів і збільшення ціни забруднення, регулюваня цін тощо. Стратегія «зеленого» зростання ґрунтується на взаємопов’язаних аспектах економічної та екологічної політики, що враховують усю цінність природного капіталу як фактора виробництва та його роль у зростанні. У ній наголошується на рентабельності шляхів пом’якшення тиску на навколишнє середовище з тим, щоб вплинути на перехід до нових схем зростання, не переступати через критичні місцеві, регіональні та глобальні екологічні межі.</w:t>
      </w:r>
    </w:p>
    <w:p w14:paraId="0F3E6489"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За визначенням ЮНЕП, «зелена» економіка – це економіка з низькими обсягами викидів вуглецевих сполук, яка ефективно використовує ресурси та відповідає інтересам усього суспільства. У контексті підготовки до згадуваної Конференції ООН «Ріо + 20» запропоновано концепцію переходу до нової державної політики, що передбачає не зростання витрат на «екологію», а інвестування в «зелену економіку». Ця модель надає економічні та соціальні аргументи на користь інвестування 2 % світового ВВП в «озеленення» десяти найважливіших секторів економіки. Метою таких дій є зміна характеру розвитку та спрямування потоків державного і приватного капіталу на зменшення викидів вуглецю та ефективне використання природних ресурсів. Це стимулюватиме економічну активність при зниженому ризику виникнення економічних, екологічних і соціальних криз.</w:t>
      </w:r>
    </w:p>
    <w:p w14:paraId="67A389C6"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Концепція пропонує більш розумне управління природним і людським капіталом планети, що змінить створення матеріальних благ і напрям розвитку нашого світу в умовах як планової, так і ринкової економіки окремих країн світу.</w:t>
      </w:r>
    </w:p>
    <w:p w14:paraId="07E95F01"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 xml:space="preserve">Тому підприємствам доцільно ухвалити бізнес-стратегії, спрямовані на максимально ефективне використання ресурсів і «чисте» виробництво, тобто </w:t>
      </w:r>
      <w:r w:rsidRPr="00CC4B72">
        <w:rPr>
          <w:rFonts w:ascii="Times New Roman" w:hAnsi="Times New Roman" w:cs="Times New Roman"/>
          <w:b/>
          <w:sz w:val="20"/>
          <w:szCs w:val="20"/>
        </w:rPr>
        <w:t>стратегії відповідно до «трьох R» (</w:t>
      </w:r>
      <w:r w:rsidRPr="00CC4B72">
        <w:rPr>
          <w:rFonts w:ascii="Times New Roman" w:hAnsi="Times New Roman" w:cs="Times New Roman"/>
          <w:b/>
          <w:i/>
          <w:sz w:val="20"/>
          <w:szCs w:val="20"/>
        </w:rPr>
        <w:t>Reduce, Recycle, Reuse</w:t>
      </w:r>
      <w:r w:rsidRPr="00CC4B72">
        <w:rPr>
          <w:rFonts w:ascii="Times New Roman" w:hAnsi="Times New Roman" w:cs="Times New Roman"/>
          <w:b/>
          <w:sz w:val="20"/>
          <w:szCs w:val="20"/>
        </w:rPr>
        <w:t>) – «скорочення, перероблення, повторне використання»</w:t>
      </w:r>
      <w:r w:rsidRPr="00CC4B72">
        <w:rPr>
          <w:rFonts w:ascii="Times New Roman" w:hAnsi="Times New Roman" w:cs="Times New Roman"/>
          <w:sz w:val="20"/>
          <w:szCs w:val="20"/>
        </w:rPr>
        <w:t>*. Для цього необхідно максимально підвищити ефективність використання енергії та сировини, запровадити стратегії «чистих» виробництв,   запобігання   забрудненням, «зеленого» виробництва тощо.</w:t>
      </w:r>
    </w:p>
    <w:p w14:paraId="1EEE5653"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Отже, як свідчить міжнародний досвід, перехід до «зеленої» економіки супроводжується низкою заходів, в основі яких лежить використання різних інструментів, які впливають на конкурентоспроможність країни.</w:t>
      </w:r>
    </w:p>
    <w:p w14:paraId="38726108" w14:textId="77777777" w:rsidR="002F0C66" w:rsidRPr="00CC4B72" w:rsidRDefault="002F0C66" w:rsidP="002F0C66">
      <w:pPr>
        <w:numPr>
          <w:ilvl w:val="0"/>
          <w:numId w:val="26"/>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b/>
          <w:sz w:val="20"/>
          <w:szCs w:val="20"/>
        </w:rPr>
        <w:lastRenderedPageBreak/>
        <w:t xml:space="preserve">Реформа субсидій. </w:t>
      </w:r>
      <w:r w:rsidRPr="00CC4B72">
        <w:rPr>
          <w:rFonts w:ascii="Times New Roman" w:hAnsi="Times New Roman" w:cs="Times New Roman"/>
          <w:sz w:val="20"/>
          <w:szCs w:val="20"/>
        </w:rPr>
        <w:t>Субсидії – один з найважливіших інструментів торговельної політики, який широко використовується багатьма країнами в таких секторах, як сільське господарство, енергетика, рибальство, лісове господарство, водопостачання. Проте субсидії створюють неоднозначний і нерідко негативний ефект, оскільки призводять до значних дисбалансів на ринках та загострення безлічі економічних, соціальних та екологічних проблем. Так, наявність сільськогосподарських субсидій ЄС, США та деяких інших держав ставить у невигідне становище фермерів з країн, що розвиваються, обмежуючи можливості їхнього розвитку. Субсидії часто дозволяють розміщувати виробництво там, де це економічно невигідно, або проводити діяльність, що завдає шкоди навколишньому середовищу. Усунення багатьох видів неефективних субсидій уможливить вивільнення коштів національних бюджетів для досягнення важливих екологічних або соціальних цілей. Крім того, відмова від деяких субсидій створить прямий позитивний вплив на стан навколишнього середовища. Так, рибальські субсидії призводять до надмірного вилову й виснаження рибних ресурсів. Переговори щодо їх усунення зараз ведуться в рамках СОТ. Ще один приклад – субсидії на викопне паливо, зниження яких може сприяти розв’язанню проблеми зміни клімату. Відповідно до звіту OEСР «Енергетичні субсидії в Україні» за період 2012-2015 рр. близько 40 млрд грн було виділено на вугільний сектор та 356 млрд грн – на газовий, а загалом державна підтримка традиційної енергетики за період становила 595,872 млрд грн проти 20,663 млн грн підтримки заходів з енергоефективності та ВДЕ. Неефективність використання коштів, спрямованих на підтримку традиційної енергетики, підтверджує необхідність їх переорієнтації на розвиток відновлювальної енергетики, яка обіцяє бути економічно та екологічно вигідною.</w:t>
      </w:r>
    </w:p>
    <w:p w14:paraId="17013033" w14:textId="77777777" w:rsidR="002F0C66" w:rsidRPr="00CC4B72" w:rsidRDefault="002F0C66" w:rsidP="002F0C66">
      <w:pPr>
        <w:numPr>
          <w:ilvl w:val="1"/>
          <w:numId w:val="26"/>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b/>
          <w:sz w:val="20"/>
          <w:szCs w:val="20"/>
        </w:rPr>
        <w:t xml:space="preserve">«Продаж квот» як інструмент кліматичної політики. </w:t>
      </w:r>
      <w:r w:rsidRPr="00CC4B72">
        <w:rPr>
          <w:rFonts w:ascii="Times New Roman" w:hAnsi="Times New Roman" w:cs="Times New Roman"/>
          <w:sz w:val="20"/>
          <w:szCs w:val="20"/>
        </w:rPr>
        <w:t>Більшість економістів вважає адекватною систему торгівлі дозволами на викиди, або</w:t>
      </w:r>
    </w:p>
    <w:p w14:paraId="23A2C229"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«продажу квот». Обмежена кількість ліцензій на викиди забруднювальних речовин, наприклад діоксиду сірки, стимулює  скорочення  забруднення: з одного боку, за скорочення викидів не потрібно купувати багато ліцензій, з іншого – скорочення викидів надає можливість запропонувати більше ліцензій тим, кому вони потрібні. Зрештою, «продаж квот», за оцінками фахівців, формує ті самі стимули, що і податок А. Пігу – ціна ліцензії виконує роль податку на забруднення навколишнього  природного  середовища. Із зростанням необхідності екологічного регулювання економісти взяли на озброєння розробки А. Пігу і почали наполягати на обмеженні забруднення за допомогою цін.</w:t>
      </w:r>
    </w:p>
    <w:p w14:paraId="35FF6A20"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На практиці існує кілька важливих відмінностей між принципом «продажу квот» та податком на забруднення навколишнього природного середовища. Зокрема, ці дві системи формують різні види невизначеності.</w:t>
      </w:r>
    </w:p>
    <w:p w14:paraId="22970F30"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lastRenderedPageBreak/>
        <w:t>У науковій літературі обґрунтовуються пропозиції щодо гібридного рішення – торгівля квотами для одних галузей економіки та податок на викиди вуглецю для інших, в основному для нафтогазової сфери.</w:t>
      </w:r>
    </w:p>
    <w:p w14:paraId="182E7BCF"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У будь-якому разі досвід засвідчує ефективність ринкових обмежень викидів. Як свідчить міжнародний досвід, з плином часу обсяг викидів діоксиду сірки на електростанціях був скорочений майже вдвічі за набагато менших витрат, ніж очікували навіть оптимісти, а ціни на електроенергію не збільшилися. При цьому екологічна проблема не зникла, але була значно пом’якшена. Противники</w:t>
      </w:r>
      <w:r>
        <w:rPr>
          <w:rFonts w:ascii="Times New Roman" w:hAnsi="Times New Roman" w:cs="Times New Roman"/>
          <w:sz w:val="20"/>
          <w:szCs w:val="20"/>
        </w:rPr>
        <w:t xml:space="preserve"> </w:t>
      </w:r>
      <w:r w:rsidRPr="00CC4B72">
        <w:rPr>
          <w:rFonts w:ascii="Times New Roman" w:hAnsi="Times New Roman" w:cs="Times New Roman"/>
          <w:sz w:val="20"/>
          <w:szCs w:val="20"/>
        </w:rPr>
        <w:t>введення</w:t>
      </w:r>
      <w:r>
        <w:rPr>
          <w:rFonts w:ascii="Times New Roman" w:hAnsi="Times New Roman" w:cs="Times New Roman"/>
          <w:sz w:val="20"/>
          <w:szCs w:val="20"/>
        </w:rPr>
        <w:t xml:space="preserve"> </w:t>
      </w:r>
      <w:r w:rsidRPr="00CC4B72">
        <w:rPr>
          <w:rFonts w:ascii="Times New Roman" w:hAnsi="Times New Roman" w:cs="Times New Roman"/>
          <w:sz w:val="20"/>
          <w:szCs w:val="20"/>
        </w:rPr>
        <w:t>квот</w:t>
      </w:r>
      <w:r>
        <w:rPr>
          <w:rFonts w:ascii="Times New Roman" w:hAnsi="Times New Roman" w:cs="Times New Roman"/>
          <w:sz w:val="20"/>
          <w:szCs w:val="20"/>
        </w:rPr>
        <w:t xml:space="preserve"> </w:t>
      </w:r>
      <w:r w:rsidRPr="00CC4B72">
        <w:rPr>
          <w:rFonts w:ascii="Times New Roman" w:hAnsi="Times New Roman" w:cs="Times New Roman"/>
          <w:sz w:val="20"/>
          <w:szCs w:val="20"/>
        </w:rPr>
        <w:t>на викиди підтримують дві позиції: прямі дії, зокрема заборона вугільних електростанцій, є ефективнішими; податок на викиди буде кращим, ніж торгівля квотами на викиди. І хоча ринковий підхід не розв’язує всіх проблем, зокрема, не можна встановити ціну на те, що не можна виміряти точно, і ця процедура може бути складною й дорогою, проте більшість економістів вважає, що масштаби і складність ситуації вимагає ринкових рішень: або квот, або податку на викиди парникових газів.</w:t>
      </w:r>
    </w:p>
    <w:p w14:paraId="4A505FBB"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Застосування ринкових механізмів передбачає створення певної системи заходів, спрямованих на зменшення викидів. При цьому обмеження викидів може призвести до незначного уповільнення економічного зростання. Бюджетне управління Конгресу США дійшло висновку, що прийняття Закону про чисту енергетику та безпеку, або Закону Ваксмана-Марки (</w:t>
      </w:r>
      <w:r w:rsidRPr="00CC4B72">
        <w:rPr>
          <w:rFonts w:ascii="Times New Roman" w:hAnsi="Times New Roman" w:cs="Times New Roman"/>
          <w:i/>
          <w:sz w:val="20"/>
          <w:szCs w:val="20"/>
        </w:rPr>
        <w:t>WaxmanMarkey bill</w:t>
      </w:r>
      <w:r w:rsidRPr="00CC4B72">
        <w:rPr>
          <w:rFonts w:ascii="Times New Roman" w:hAnsi="Times New Roman" w:cs="Times New Roman"/>
          <w:sz w:val="20"/>
          <w:szCs w:val="20"/>
        </w:rPr>
        <w:t>) «призведе до скорочення прогнозованих середньорічних темпів зростання ВВП США в період між 2010 і 2050 рр. від 0,03 до 0,09 %». Управління вважає, що запровадження жорсткої політики щодо запобігання змінам клімату зменшить ВВП США до 2050 р. на 1,1 % – до 3,4 %. Загалом аналітики вважають, що застосування жорсткої політики щодо обмеження змін клімату призведе до зниження світового виробництва на дещо менший відсоток, ніж відповідні показники для США. Основною причиною цього є те, що деякі економіки (наприклад, Китай) використовують енергію досить неефективно, частково внаслідок національної політики підтримання цін на викопне паливо на дуже низькому рівні. Прогнозоване скорочення ВВП світу становить 1-3 %.</w:t>
      </w:r>
    </w:p>
    <w:p w14:paraId="0875773B"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Розрахунок здається простим: зміна клімату зумовить зниження валового світового продукту на 5 %, а заходи щодо призупинення змін клімату можуть коштувати близько 2 % ВВП. Проте, на жаль, не все так просто. Зміни вже тривають, а отже, навіть за жорсткої політики запобігання змінам клімату кількість вуглекислого газу в атмосфері, імовірніше, зростатиме ще протягом багатьох років, а цілеспрямовані заходи, за оцінками фахівців, дадуть помітний ефект не раніше, ніж за 20 років.</w:t>
      </w:r>
    </w:p>
    <w:p w14:paraId="1D6BD44C"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Своєрідним стимулом переглянути свої позиції для країн, що не приєдналися до угоди про обмеження викидів парникових газів, стане запровадження у США та ЄС тарифів на викиди вуглецю. Вуглецевий тариф буде податком на імпортовані товари пропорційно до викидів вуглецю, що утворюються при виробництві цих товарів.</w:t>
      </w:r>
    </w:p>
    <w:p w14:paraId="4CBC347C"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lastRenderedPageBreak/>
        <w:t>Політика зі скорочення викидів вуглекислого газу може розглядатися як певний суспільний інвестиційний проект: ви сплачуєте зараз і отримуєте вигоду у вигляді менш пошкодженої планети пізніше. Викиди сьогодення впливатимуть на кількість вуглецю в атмосфері на десятиліття, а можливо, і століття вперед. Тому для оцінювання доцільності здійснення інвестицій у скорочення викидів варто оцінити збиток, який додаткові обсяги вуглекислого газу в атмосфері завдаватимуть протягом століть.</w:t>
      </w:r>
    </w:p>
    <w:p w14:paraId="6B3660D2"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Прихильники поступової політики стверджують, що збиток, завданий додатковими тоннами вуглекислого газу в атмосфері, є досить низьким за поточної концентрації, вартість не буде дуже великою, поки не буде набагато більше вуглекислого газу в повітрі. Вони стверджують, що витрати далекого майбутнього не повинні вагомо впливати на політику сьогодення. Прихильники активних дій стверджують, що політики повинні надати однакової важливості добробуту й сьогоднішнього, і майбутніх поколінь.</w:t>
      </w:r>
    </w:p>
    <w:p w14:paraId="202D4816" w14:textId="2146AD60" w:rsidR="002F0C66" w:rsidRPr="00CC4B72" w:rsidRDefault="00CF642B" w:rsidP="002F0C66">
      <w:pPr>
        <w:numPr>
          <w:ilvl w:val="0"/>
          <w:numId w:val="26"/>
        </w:numPr>
        <w:adjustRightInd w:val="0"/>
        <w:snapToGrid w:val="0"/>
        <w:spacing w:after="0" w:line="240" w:lineRule="auto"/>
        <w:ind w:left="0" w:firstLine="567"/>
        <w:jc w:val="both"/>
        <w:rPr>
          <w:rFonts w:ascii="Times New Roman" w:hAnsi="Times New Roman" w:cs="Times New Roman"/>
          <w:sz w:val="20"/>
          <w:szCs w:val="20"/>
        </w:rPr>
      </w:pPr>
      <w:r>
        <w:rPr>
          <w:rFonts w:ascii="Times New Roman" w:hAnsi="Times New Roman" w:cs="Times New Roman"/>
          <w:b/>
          <w:sz w:val="20"/>
          <w:szCs w:val="20"/>
        </w:rPr>
        <w:t>Е</w:t>
      </w:r>
      <w:r w:rsidR="002F0C66" w:rsidRPr="00CC4B72">
        <w:rPr>
          <w:rFonts w:ascii="Times New Roman" w:hAnsi="Times New Roman" w:cs="Times New Roman"/>
          <w:b/>
          <w:sz w:val="20"/>
          <w:szCs w:val="20"/>
        </w:rPr>
        <w:t xml:space="preserve">кологічні податки і збори </w:t>
      </w:r>
      <w:r w:rsidR="002F0C66" w:rsidRPr="00CC4B72">
        <w:rPr>
          <w:rFonts w:ascii="Times New Roman" w:hAnsi="Times New Roman" w:cs="Times New Roman"/>
          <w:sz w:val="20"/>
          <w:szCs w:val="20"/>
        </w:rPr>
        <w:t>все більше використовуються в усьому світі. Їх метою є інтернаціоналізація зовнішніх витрат і стримування розвиток галузей, які не є «зеленими». Ідея «екологічного» оподаткування з метою обмеження масштабів забруднення довкілля, як згадувалося вище, була запропонована Артуром Пігу ще в 1920 р. При цьому базою екологічного податку можуть бути:</w:t>
      </w:r>
    </w:p>
    <w:p w14:paraId="043327C6" w14:textId="77777777" w:rsidR="002F0C66" w:rsidRPr="00CC4B72" w:rsidRDefault="002F0C66" w:rsidP="002F0C66">
      <w:pPr>
        <w:numPr>
          <w:ilvl w:val="0"/>
          <w:numId w:val="25"/>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енергетичні продукти,</w:t>
      </w:r>
    </w:p>
    <w:p w14:paraId="398977C0" w14:textId="77777777" w:rsidR="002F0C66" w:rsidRPr="00CC4B72" w:rsidRDefault="002F0C66" w:rsidP="002F0C66">
      <w:pPr>
        <w:numPr>
          <w:ilvl w:val="0"/>
          <w:numId w:val="25"/>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відходи,</w:t>
      </w:r>
    </w:p>
    <w:p w14:paraId="69C3C9A7" w14:textId="77777777" w:rsidR="002F0C66" w:rsidRPr="00CC4B72" w:rsidRDefault="002F0C66" w:rsidP="002F0C66">
      <w:pPr>
        <w:numPr>
          <w:ilvl w:val="0"/>
          <w:numId w:val="25"/>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транспортні засоби.</w:t>
      </w:r>
    </w:p>
    <w:p w14:paraId="171C01C2"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Зараз у деяких країнах вводяться податки на видобуток специфічних природних ресурсів (пісок, гравій). та вуглецеві податки. При цьому найбільш поширеними є податки на енергетичні продукти (150 податків у ЄС), відходи (близько 50 податків), транспортні засоби (125 податків у ЄС). На сьогодні у Вірменії та Молдові введені податки на екологічно шкідливу продукцію, і кілька інших країн (серед них й Україна) зацікавлені в тому, щоб розвивати цей інструмент. У деяких країнах СП (наприклад, в Азербайджані та Україні) діють податки на паливо під назвою «платежі за викиди в атмосферне повітря від пересувних джерел», а в інших країнах використовується диференціація податку на паливо, зважаючи на екологічні фактори (вмісту свинцю і сірки, дизельне паливо / бензин і т.д.).</w:t>
      </w:r>
    </w:p>
    <w:p w14:paraId="287C2D25"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 xml:space="preserve">Зараз у базі даних економічних інструментів ОЕСР та Європейського Екологічного Агентства нараховується майже </w:t>
      </w:r>
      <w:r w:rsidRPr="00CC4B72">
        <w:rPr>
          <w:rFonts w:ascii="Times New Roman" w:hAnsi="Times New Roman" w:cs="Times New Roman"/>
          <w:b/>
          <w:sz w:val="20"/>
          <w:szCs w:val="20"/>
        </w:rPr>
        <w:t>400 екологічних податків та більше ніж 250 зборів та платежів</w:t>
      </w:r>
      <w:r w:rsidRPr="00CC4B72">
        <w:rPr>
          <w:rFonts w:ascii="Times New Roman" w:hAnsi="Times New Roman" w:cs="Times New Roman"/>
          <w:sz w:val="20"/>
          <w:szCs w:val="20"/>
        </w:rPr>
        <w:t xml:space="preserve">. Існує думка, що екологічні податки і збори знижують конкурентоспроможність національної продукції в порівнянні з імпортними товарами. Проте дохід від використання екологічних податків становить, насправді, приблизно 2-2,5% від ВВП23. Кілька країн СП висловили зацікавленість у впровадженні нових або удосконаленні наявних економічних стимулів, об'єктом яких є екологічно шкідлива продукція. У цьому напрямі характерний в ОЕСР / СРГ ПДООС досвід розроблення та </w:t>
      </w:r>
      <w:r w:rsidRPr="00CC4B72">
        <w:rPr>
          <w:rFonts w:ascii="Times New Roman" w:hAnsi="Times New Roman" w:cs="Times New Roman"/>
          <w:sz w:val="20"/>
          <w:szCs w:val="20"/>
        </w:rPr>
        <w:lastRenderedPageBreak/>
        <w:t>оцінки дієвості економічних інструментів охорони навколишнього середовища, зокрема платежів / податків за забруднення, у країнах СП і за їх межами. Одна з головних проблем, пов'язаних з ефективністю функціонування цих інструментів у країнах-партнерах, полягає в тому, що вони орієнтовані виключно на отримання доходів без урахування їх дієвості з точки зору охорони навколишнього середовища, покращення якої є ключовим завданням. Бази даних ОЕСР у цих сферах дозволять проводити порівняльну оцінку результатів діяльності в країнах СП.</w:t>
      </w:r>
    </w:p>
    <w:p w14:paraId="3EDCAAB9"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Як орієнтири й контрольні показники тут використовуються вимоги законодавства ЄС, спрямовані на заохочення політики поліпшення продукції, вторинного використання відходів і підвищення ефективності використання ресурсів, а також прийнятий ЄС План дій щодо впровадження екологічних технологій. Суттєве значення має така діяльність для торговельної політики, яку проводять деякі країни СП як члени СОТ.</w:t>
      </w:r>
    </w:p>
    <w:p w14:paraId="328E6395" w14:textId="77777777" w:rsidR="002F0C66" w:rsidRPr="00CC4B72" w:rsidRDefault="002F0C66" w:rsidP="002F0C66">
      <w:pPr>
        <w:numPr>
          <w:ilvl w:val="1"/>
          <w:numId w:val="25"/>
        </w:numPr>
        <w:adjustRightInd w:val="0"/>
        <w:snapToGrid w:val="0"/>
        <w:spacing w:after="0" w:line="240" w:lineRule="auto"/>
        <w:ind w:left="0" w:firstLine="567"/>
        <w:jc w:val="both"/>
        <w:rPr>
          <w:rFonts w:ascii="Times New Roman" w:hAnsi="Times New Roman" w:cs="Times New Roman"/>
          <w:b/>
          <w:bCs/>
          <w:sz w:val="20"/>
          <w:szCs w:val="20"/>
        </w:rPr>
      </w:pPr>
      <w:r w:rsidRPr="00CC4B72">
        <w:rPr>
          <w:rFonts w:ascii="Times New Roman" w:hAnsi="Times New Roman" w:cs="Times New Roman"/>
          <w:b/>
          <w:bCs/>
          <w:sz w:val="20"/>
          <w:szCs w:val="20"/>
        </w:rPr>
        <w:t>Регулятивні заходи, стандарти і заборони.</w:t>
      </w:r>
    </w:p>
    <w:p w14:paraId="1B8F25F2"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У різних країнах світу існує різноманітне законодавство, яке стосується виробництва або використання товарів і спрямоване на досягнення екологічних цілей. Одним зі способів боротьби з негативними зовнішніми наслідками є запровадження адміністративних правил, якими забороняються або принаймні обмежуються дії, що спричинюють значні витрати для інших. Прикладом може бути боротьба з кислотними дощами, викликаними викидами діоксиду сірки, перш за все, з електростанцій, у США. У 1977 р. уряд США рекомендував, щоб усе нове обладнання, яке використовує вугілля, мало фільтри для вилучення діоксиду сірки зі своїх викидів. Введення жорстких стандартів на всіх підприємствах було проблематичним, оскільки модернізація деяких старих заводів є надто дорогою, тому регулювання стосувалося тільки нових підприємств. З часом були розроблені технології досить простої модернізації застарілих підприємств.</w:t>
      </w:r>
    </w:p>
    <w:p w14:paraId="5DAF6E15"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Особливі проблеми виникають, якщо такі вимоги висувають до імпортних товарів. Так, на сьогодні велика кількість країн, в основному розвинених, встановила ряд вимог за видами упаковки, що використовується на їхніх ринках, а також вимоги, що стосуються відновлення, багаторазового використання, рециркуляції або утилізації пакувальних матеріалів, після того як вони виконають свою функцію.</w:t>
      </w:r>
    </w:p>
    <w:p w14:paraId="2E1F0C2C" w14:textId="77777777" w:rsidR="002F0C66" w:rsidRPr="00CC4B72" w:rsidRDefault="002F0C66" w:rsidP="002F0C66">
      <w:pPr>
        <w:numPr>
          <w:ilvl w:val="0"/>
          <w:numId w:val="26"/>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b/>
          <w:sz w:val="20"/>
          <w:szCs w:val="20"/>
        </w:rPr>
        <w:t xml:space="preserve">Усунення торгових бар'єрів для екологічних товарів та послуг. </w:t>
      </w:r>
      <w:r w:rsidRPr="00CC4B72">
        <w:rPr>
          <w:rFonts w:ascii="Times New Roman" w:hAnsi="Times New Roman" w:cs="Times New Roman"/>
          <w:sz w:val="20"/>
          <w:szCs w:val="20"/>
        </w:rPr>
        <w:t>Лібералізація торгівлі може сприяти збільшенню торговельних потоків товарів і послуг природоохоронного призначення, що також прискорить заміну старих технологій, тим самим сприяючи скороченню рівня забруднення і шкоди, що завдається навколишньому середовищу відходами протягом усього життєвого циклу.</w:t>
      </w:r>
    </w:p>
    <w:p w14:paraId="7822C714" w14:textId="77777777" w:rsidR="002F0C66" w:rsidRPr="00CC4B72" w:rsidRDefault="002F0C66" w:rsidP="002F0C66">
      <w:pPr>
        <w:numPr>
          <w:ilvl w:val="0"/>
          <w:numId w:val="26"/>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b/>
          <w:sz w:val="20"/>
          <w:szCs w:val="20"/>
        </w:rPr>
        <w:t>Фінансування</w:t>
      </w:r>
      <w:r>
        <w:rPr>
          <w:rFonts w:ascii="Times New Roman" w:hAnsi="Times New Roman" w:cs="Times New Roman"/>
          <w:b/>
          <w:sz w:val="20"/>
          <w:szCs w:val="20"/>
        </w:rPr>
        <w:t xml:space="preserve"> </w:t>
      </w:r>
      <w:r w:rsidRPr="00CC4B72">
        <w:rPr>
          <w:rFonts w:ascii="Times New Roman" w:hAnsi="Times New Roman" w:cs="Times New Roman"/>
          <w:b/>
          <w:sz w:val="20"/>
          <w:szCs w:val="20"/>
        </w:rPr>
        <w:t xml:space="preserve">інновацій. </w:t>
      </w:r>
      <w:r w:rsidRPr="00CC4B72">
        <w:rPr>
          <w:rFonts w:ascii="Times New Roman" w:hAnsi="Times New Roman" w:cs="Times New Roman"/>
          <w:sz w:val="20"/>
          <w:szCs w:val="20"/>
        </w:rPr>
        <w:t xml:space="preserve">Багато урядів вважають, що важливим заходом для переходу до «зеленої» економіки є збільшення фінансування інновацій у чисті технології. Це можна зробити різними шляхами, наприклад </w:t>
      </w:r>
      <w:r w:rsidRPr="00CC4B72">
        <w:rPr>
          <w:rFonts w:ascii="Times New Roman" w:hAnsi="Times New Roman" w:cs="Times New Roman"/>
          <w:sz w:val="20"/>
          <w:szCs w:val="20"/>
        </w:rPr>
        <w:lastRenderedPageBreak/>
        <w:t>підтримкою НДДКР, пільговими процентними ставками, позиками. Широкий доступ до фінансування є одним з ключових чинників, що сприяють екологічно орієнтованим інвестиціям. На тепер доступ як до вітчизняного, так і до міжнародного</w:t>
      </w:r>
      <w:r>
        <w:rPr>
          <w:rFonts w:ascii="Times New Roman" w:hAnsi="Times New Roman" w:cs="Times New Roman"/>
          <w:sz w:val="20"/>
          <w:szCs w:val="20"/>
        </w:rPr>
        <w:t xml:space="preserve"> </w:t>
      </w:r>
      <w:r w:rsidRPr="00CC4B72">
        <w:rPr>
          <w:rFonts w:ascii="Times New Roman" w:hAnsi="Times New Roman" w:cs="Times New Roman"/>
          <w:sz w:val="20"/>
          <w:szCs w:val="20"/>
        </w:rPr>
        <w:t>фінансування в країнах СП обмежений через різні фактори, зокрема у зв'язку з глобальною фінансово-економічною кризою, обмеженим потенціалом урядів і приватного сектора й недосконалою політикою, у тому числі інвестиційної.</w:t>
      </w:r>
    </w:p>
    <w:p w14:paraId="693C34F6"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Міжнародними фінансовими організаціями (МФО) створені екологічні кредитні лінії в комерційних банках, іноді за підтримки донорів, таких як ЄС. Проте часто, коли підтримка МФО та донорів припиняється, вони не здатні існувати на принципах самоокупності.</w:t>
      </w:r>
    </w:p>
    <w:p w14:paraId="45C8B462"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Основна частина фінансування інвестицій у «зелену» модель зростання, особливо в країнах СП з більш високим рівнем доходів, повинна надходити з приватних джерел. Чинні механізми повинні бути значно розширені. Визнаючи це, ЄБРР, Європейський інвестиційний банк (ЄІБ), Світовий банк і Азіатський банк розвитку створили в комерційних банках кредитні лінії, які виділяються цільовим призначенням на природоохоронні цілі. Такі кредитні лінії створені МФО не тільки для реалізації невідкладних інвестиційних пріоритетів, але й для зміцнення потенціалу місцевих банків у проведенні належних перевірок та демонстрації життєздатності екологічно орієнтованого фінансування як привабливої моделі господарювання. Проте це станеться тільки в тому разі, якщо місцеві банки будуть бачити достатні можливості для здійснення необхідних капіталовкладень у персонал і потенціал порівняно з іншими комерційними можливостями. Це також вимагає наявності достатнього попиту з боку позичальників і сприятливих основ політики. Це деякі з питань, що потребують вирішення, щоб екологічні кредитні лінії комерційних банків могли існувати на принципах самоокупності після припинення фінансування МФО та донорів.</w:t>
      </w:r>
    </w:p>
    <w:p w14:paraId="4CE285C0" w14:textId="3C3D5B38" w:rsidR="002F0C66" w:rsidRPr="00CF642B" w:rsidRDefault="002F0C66" w:rsidP="00CF642B">
      <w:pPr>
        <w:numPr>
          <w:ilvl w:val="1"/>
          <w:numId w:val="26"/>
        </w:numPr>
        <w:adjustRightInd w:val="0"/>
        <w:snapToGrid w:val="0"/>
        <w:spacing w:after="0" w:line="240" w:lineRule="auto"/>
        <w:ind w:left="0" w:firstLine="567"/>
        <w:jc w:val="both"/>
        <w:rPr>
          <w:rFonts w:ascii="Times New Roman" w:hAnsi="Times New Roman" w:cs="Times New Roman"/>
          <w:bCs/>
          <w:sz w:val="20"/>
          <w:szCs w:val="20"/>
        </w:rPr>
      </w:pPr>
      <w:r w:rsidRPr="00CC4B72">
        <w:rPr>
          <w:rFonts w:ascii="Times New Roman" w:hAnsi="Times New Roman" w:cs="Times New Roman"/>
          <w:b/>
          <w:bCs/>
          <w:sz w:val="20"/>
          <w:szCs w:val="20"/>
        </w:rPr>
        <w:t xml:space="preserve">Стимули для інвестицій. </w:t>
      </w:r>
      <w:r w:rsidRPr="00CC4B72">
        <w:rPr>
          <w:rFonts w:ascii="Times New Roman" w:hAnsi="Times New Roman" w:cs="Times New Roman"/>
          <w:bCs/>
          <w:sz w:val="20"/>
          <w:szCs w:val="20"/>
        </w:rPr>
        <w:t xml:space="preserve">Для </w:t>
      </w:r>
      <w:r w:rsidRPr="00CC4B72">
        <w:rPr>
          <w:rFonts w:ascii="Times New Roman" w:hAnsi="Times New Roman" w:cs="Times New Roman"/>
          <w:sz w:val="20"/>
          <w:szCs w:val="20"/>
        </w:rPr>
        <w:t xml:space="preserve">надання імпульсу переходу до «зеленої» економіки уряди можуть використовувати стимули для інвестицій. Часто такий захід є частиною більш широкої стратегії підтримки окремих галузей, наприклад виробництва поновлюваних джерел енергії, електромобілів і т.д. Збільшуваний попит на поліпшення стану навколишнього середовища сприяв розширенню обсягів інвестицій як у промислово розвинутих країнах, так і в країнах, що розвиваються. Перше велике прагнення Європи сприяти еко-інноваціям було втілене у «Плані дій щодо розвитку технологій захисту довкілля» (ЕТАР). Прийнятий у 2004 році, План дій зосереджувався на подальшому розвитку й використанні екологічних технологій. Його метою було подолання фінансових, економічних та інституційних бар'єрів, що перешкоджають розвитку цих технологій, а також сприяння їх прийняттю ринком. Завдяки ЕТАР екологічні галузі виробництва Європи процвітають. Цей сектор сьогодні, за експертними оцінками, має річний обіг у розмірі 227 млрд євро, або близько 2,2% від валового </w:t>
      </w:r>
      <w:r w:rsidRPr="00CC4B72">
        <w:rPr>
          <w:rFonts w:ascii="Times New Roman" w:hAnsi="Times New Roman" w:cs="Times New Roman"/>
          <w:sz w:val="20"/>
          <w:szCs w:val="20"/>
        </w:rPr>
        <w:lastRenderedPageBreak/>
        <w:t>внутрішнього продукту ЄС, випереджаючи європейську аерокосмічну або фармацевтичну промисловість, та забезпечує робочі місця для 3,4 млн чоловік. Близько половини європейських компаній, які працюють у сфері виробництва, сільського господарства, водного господарства та продуктів харчування, останнім часом запроваджують еко-інновації та отримують у результаті вигоду. Очевидно, що існує великий потенціал для еко-інновацій у створенні нових можливостей для бізнесу, робочих місць та економічного зростання в Європі. «План дій з еко-інновацій» (ЕсоАР)</w:t>
      </w:r>
      <w:r w:rsidR="00CF642B">
        <w:rPr>
          <w:rFonts w:ascii="Times New Roman" w:hAnsi="Times New Roman" w:cs="Times New Roman"/>
          <w:bCs/>
          <w:sz w:val="20"/>
          <w:szCs w:val="20"/>
        </w:rPr>
        <w:t xml:space="preserve"> </w:t>
      </w:r>
      <w:r w:rsidRPr="00CF642B">
        <w:rPr>
          <w:rFonts w:ascii="Times New Roman" w:hAnsi="Times New Roman" w:cs="Times New Roman"/>
          <w:sz w:val="20"/>
          <w:szCs w:val="20"/>
        </w:rPr>
        <w:t>є логічним наступником ЕТАР. Представлений Європейською Комісією у грудні 2011 року, новий План дій буде спиратися на цінний досвід, накопичений на сьогодні, особливо щодо сприяння розвитку та застосуванню еко-інновацій у всій Європі. ЕсоАР є значним кроком вперед щодо еко-інновацій, який забезпечує вихід ЄС за межі «зелених» технологій та сприяє широкому спектру еко-інноваційних процесів, продуктів і послуг. Амбітний план буде також спрямований на розвиток міцніших та ширших еко-інноваційних заходів усередині і за межами Європи.</w:t>
      </w:r>
    </w:p>
    <w:p w14:paraId="2931EFC4" w14:textId="5A367D63" w:rsidR="002F0C66" w:rsidRPr="00CC4B72" w:rsidRDefault="002F0C66" w:rsidP="002F0C66">
      <w:pPr>
        <w:numPr>
          <w:ilvl w:val="0"/>
          <w:numId w:val="24"/>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b/>
          <w:sz w:val="20"/>
          <w:szCs w:val="20"/>
        </w:rPr>
        <w:t>«</w:t>
      </w:r>
      <w:r w:rsidR="00CF642B">
        <w:rPr>
          <w:rFonts w:ascii="Times New Roman" w:hAnsi="Times New Roman" w:cs="Times New Roman"/>
          <w:b/>
          <w:sz w:val="20"/>
          <w:szCs w:val="20"/>
        </w:rPr>
        <w:t>З</w:t>
      </w:r>
      <w:r w:rsidRPr="00CC4B72">
        <w:rPr>
          <w:rFonts w:ascii="Times New Roman" w:hAnsi="Times New Roman" w:cs="Times New Roman"/>
          <w:b/>
          <w:sz w:val="20"/>
          <w:szCs w:val="20"/>
        </w:rPr>
        <w:t xml:space="preserve">елені» державні закупівлі </w:t>
      </w:r>
      <w:r w:rsidRPr="00CC4B72">
        <w:rPr>
          <w:rFonts w:ascii="Times New Roman" w:hAnsi="Times New Roman" w:cs="Times New Roman"/>
          <w:sz w:val="20"/>
          <w:szCs w:val="20"/>
        </w:rPr>
        <w:t>– це добровільний інструмент для стимулювання інновацій та розроблення екологічно безпечних технологій. Перш за все, «зелені» закупівлі повинні враховувати принципи охорони та сталого використання довкілля. Уперше вони були впроваджені в Данії в 1991 р. Активізація розвитку «зелених» закупівель розпочалася після прийняття стратегічного  міжнародного  документа  –</w:t>
      </w:r>
    </w:p>
    <w:p w14:paraId="7BC803F2"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b/>
          <w:sz w:val="20"/>
          <w:szCs w:val="20"/>
        </w:rPr>
        <w:t xml:space="preserve">«Порядок денний на XXІ століття» </w:t>
      </w:r>
      <w:r w:rsidRPr="00CC4B72">
        <w:rPr>
          <w:rFonts w:ascii="Times New Roman" w:hAnsi="Times New Roman" w:cs="Times New Roman"/>
          <w:sz w:val="20"/>
          <w:szCs w:val="20"/>
        </w:rPr>
        <w:t>на Конференції ООН з навколишнього середовища та розвитку (Саміт Землі), яка відбулася в Ріо-де-Жанейро в 1992 р. У 2012 р. ЮНЕП за підтримки Європейської Комісії розпочало реалізацію проекту зі створення потенціалу «зелених» закупівель у державному секторі одночасно у 20 країнах. На Конференції «Ріо+20» ЮНЕП оголосив про старт Міжнародної ініціативи із «зелених» державних закупівель, яку вже підтримали більш ніж 30 країн та організацій. Така ініціатива сприяла ліквідації прогалин у координації політики сталості державних закупівель в усьому світі та стала глобальною платформою для обміну досвідом щодо їх застосування в усіх сферах економіки.</w:t>
      </w:r>
    </w:p>
    <w:p w14:paraId="434C61A3" w14:textId="3838187D"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 xml:space="preserve">ЗДЗ є добровільним механізмом стимулювання розвитку більш чистих технологій, проектування й виробництва продукції з поліпшеними екологічними характеристиками. Рівень застосування цього механізму під час формування кваліфікаційних вимог для проведення тендерних процедур повинен визначатися на урядовому рівні. З’ясування необхідності та ризиків «зелених» державних закупівель здійснюється за певним алгоритмом (рис. </w:t>
      </w:r>
      <w:r w:rsidR="006A3179">
        <w:rPr>
          <w:rFonts w:ascii="Times New Roman" w:hAnsi="Times New Roman" w:cs="Times New Roman"/>
          <w:sz w:val="20"/>
          <w:szCs w:val="20"/>
        </w:rPr>
        <w:t>2</w:t>
      </w:r>
      <w:r w:rsidRPr="00CC4B72">
        <w:rPr>
          <w:rFonts w:ascii="Times New Roman" w:hAnsi="Times New Roman" w:cs="Times New Roman"/>
          <w:sz w:val="20"/>
          <w:szCs w:val="20"/>
        </w:rPr>
        <w:t>.1) і визначається кожною державою та її органами влади.</w:t>
      </w:r>
    </w:p>
    <w:p w14:paraId="644A7478"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«Зелені» закупівлі також справляють суттєвий вплив на розроблення та впровадження енергоефективних та чистих технологій виробництва, поліпшення екологічних характеристик продукції протягом її життєвого циклу. Застосовуючи «зелені» державні закупівлі, органи державної влади можуть створити для промисловості реальні економічні  стимули  щодо  розвитку</w:t>
      </w:r>
    </w:p>
    <w:p w14:paraId="1762F9A9"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p>
    <w:p w14:paraId="4B10889C"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p>
    <w:p w14:paraId="545595B2"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p>
    <w:p w14:paraId="725CC360"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p>
    <w:p w14:paraId="6BC0216C" w14:textId="77777777" w:rsidR="002F0C66" w:rsidRPr="00582C11" w:rsidRDefault="002F0C66" w:rsidP="002F0C66">
      <w:pPr>
        <w:adjustRightInd w:val="0"/>
        <w:snapToGrid w:val="0"/>
        <w:spacing w:after="0" w:line="240" w:lineRule="auto"/>
        <w:ind w:firstLine="567"/>
        <w:jc w:val="both"/>
        <w:rPr>
          <w:rFonts w:ascii="Times New Roman" w:hAnsi="Times New Roman" w:cs="Times New Roman"/>
          <w:bCs/>
          <w:sz w:val="20"/>
          <w:szCs w:val="20"/>
        </w:rPr>
      </w:pPr>
      <w:r w:rsidRPr="00582C11">
        <w:rPr>
          <w:rFonts w:ascii="Times New Roman" w:hAnsi="Times New Roman" w:cs="Times New Roman"/>
          <w:bCs/>
          <w:noProof/>
          <w:sz w:val="20"/>
          <w:szCs w:val="20"/>
        </w:rPr>
        <mc:AlternateContent>
          <mc:Choice Requires="wpg">
            <w:drawing>
              <wp:inline distT="0" distB="0" distL="0" distR="0" wp14:anchorId="6BA3FB92" wp14:editId="0CF6FFD6">
                <wp:extent cx="2898140" cy="2495550"/>
                <wp:effectExtent l="0" t="0" r="0" b="0"/>
                <wp:docPr id="403" name="Group 4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898140" cy="2495550"/>
                          <a:chOff x="0" y="0"/>
                          <a:chExt cx="2898140" cy="2495550"/>
                        </a:xfrm>
                      </wpg:grpSpPr>
                      <pic:pic xmlns:pic="http://schemas.openxmlformats.org/drawingml/2006/picture">
                        <pic:nvPicPr>
                          <pic:cNvPr id="404" name="Image 404"/>
                          <pic:cNvPicPr/>
                        </pic:nvPicPr>
                        <pic:blipFill>
                          <a:blip r:embed="rId9" cstate="print"/>
                          <a:stretch>
                            <a:fillRect/>
                          </a:stretch>
                        </pic:blipFill>
                        <pic:spPr>
                          <a:xfrm>
                            <a:off x="0" y="0"/>
                            <a:ext cx="2898000" cy="2495452"/>
                          </a:xfrm>
                          <a:prstGeom prst="rect">
                            <a:avLst/>
                          </a:prstGeom>
                        </pic:spPr>
                      </pic:pic>
                      <wps:wsp>
                        <wps:cNvPr id="405" name="Textbox 405"/>
                        <wps:cNvSpPr txBox="1"/>
                        <wps:spPr>
                          <a:xfrm>
                            <a:off x="478274" y="188991"/>
                            <a:ext cx="690880" cy="342265"/>
                          </a:xfrm>
                          <a:prstGeom prst="rect">
                            <a:avLst/>
                          </a:prstGeom>
                        </wps:spPr>
                        <wps:txbx>
                          <w:txbxContent>
                            <w:p w14:paraId="6CDA8602" w14:textId="77777777" w:rsidR="002F0C66" w:rsidRDefault="002F0C66" w:rsidP="002F0C66">
                              <w:pPr>
                                <w:spacing w:line="237" w:lineRule="auto"/>
                                <w:ind w:left="112" w:right="129" w:hanging="1"/>
                                <w:jc w:val="center"/>
                                <w:rPr>
                                  <w:rFonts w:ascii="Microsoft Sans Serif" w:hAnsi="Microsoft Sans Serif"/>
                                  <w:sz w:val="16"/>
                                </w:rPr>
                              </w:pPr>
                              <w:r>
                                <w:rPr>
                                  <w:rFonts w:ascii="Microsoft Sans Serif" w:hAnsi="Microsoft Sans Serif"/>
                                  <w:spacing w:val="-2"/>
                                  <w:sz w:val="16"/>
                                </w:rPr>
                                <w:t xml:space="preserve">управління </w:t>
                              </w:r>
                              <w:r>
                                <w:rPr>
                                  <w:rFonts w:ascii="Microsoft Sans Serif" w:hAnsi="Microsoft Sans Serif"/>
                                  <w:spacing w:val="-4"/>
                                  <w:sz w:val="16"/>
                                </w:rPr>
                                <w:t>контрактом</w:t>
                              </w:r>
                            </w:p>
                            <w:p w14:paraId="1653E43A" w14:textId="77777777" w:rsidR="002F0C66" w:rsidRDefault="002F0C66" w:rsidP="002F0C66">
                              <w:pPr>
                                <w:ind w:right="18"/>
                                <w:jc w:val="center"/>
                                <w:rPr>
                                  <w:rFonts w:ascii="Microsoft Sans Serif" w:hAnsi="Microsoft Sans Serif"/>
                                  <w:sz w:val="16"/>
                                </w:rPr>
                              </w:pPr>
                              <w:r>
                                <w:rPr>
                                  <w:rFonts w:ascii="Microsoft Sans Serif" w:hAnsi="Microsoft Sans Serif"/>
                                  <w:sz w:val="16"/>
                                </w:rPr>
                                <w:t>та</w:t>
                              </w:r>
                              <w:r>
                                <w:rPr>
                                  <w:rFonts w:ascii="Microsoft Sans Serif" w:hAnsi="Microsoft Sans Serif"/>
                                  <w:spacing w:val="-1"/>
                                  <w:sz w:val="16"/>
                                </w:rPr>
                                <w:t xml:space="preserve"> </w:t>
                              </w:r>
                              <w:r>
                                <w:rPr>
                                  <w:rFonts w:ascii="Microsoft Sans Serif" w:hAnsi="Microsoft Sans Serif"/>
                                  <w:spacing w:val="-2"/>
                                  <w:sz w:val="16"/>
                                </w:rPr>
                                <w:t>утилізацією</w:t>
                              </w:r>
                            </w:p>
                          </w:txbxContent>
                        </wps:txbx>
                        <wps:bodyPr wrap="square" lIns="0" tIns="0" rIns="0" bIns="0" rtlCol="0">
                          <a:noAutofit/>
                        </wps:bodyPr>
                      </wps:wsp>
                      <wps:wsp>
                        <wps:cNvPr id="406" name="Textbox 406"/>
                        <wps:cNvSpPr txBox="1"/>
                        <wps:spPr>
                          <a:xfrm>
                            <a:off x="1797753" y="188991"/>
                            <a:ext cx="730250" cy="342265"/>
                          </a:xfrm>
                          <a:prstGeom prst="rect">
                            <a:avLst/>
                          </a:prstGeom>
                        </wps:spPr>
                        <wps:txbx>
                          <w:txbxContent>
                            <w:p w14:paraId="2B675552" w14:textId="77777777" w:rsidR="002F0C66" w:rsidRDefault="002F0C66" w:rsidP="002F0C66">
                              <w:pPr>
                                <w:spacing w:line="237" w:lineRule="auto"/>
                                <w:ind w:left="82" w:right="100"/>
                                <w:jc w:val="center"/>
                                <w:rPr>
                                  <w:rFonts w:ascii="Microsoft Sans Serif" w:hAnsi="Microsoft Sans Serif"/>
                                  <w:sz w:val="16"/>
                                </w:rPr>
                              </w:pPr>
                              <w:r>
                                <w:rPr>
                                  <w:rFonts w:ascii="Microsoft Sans Serif" w:hAnsi="Microsoft Sans Serif"/>
                                  <w:spacing w:val="-2"/>
                                  <w:sz w:val="16"/>
                                </w:rPr>
                                <w:t xml:space="preserve">оцінювання </w:t>
                              </w:r>
                              <w:r>
                                <w:rPr>
                                  <w:rFonts w:ascii="Microsoft Sans Serif" w:hAnsi="Microsoft Sans Serif"/>
                                  <w:sz w:val="16"/>
                                </w:rPr>
                                <w:t>та вибір</w:t>
                              </w:r>
                            </w:p>
                            <w:p w14:paraId="3640F2DF" w14:textId="77777777" w:rsidR="002F0C66" w:rsidRDefault="002F0C66" w:rsidP="002F0C66">
                              <w:pPr>
                                <w:ind w:right="18"/>
                                <w:jc w:val="center"/>
                                <w:rPr>
                                  <w:rFonts w:ascii="Microsoft Sans Serif" w:hAnsi="Microsoft Sans Serif"/>
                                  <w:sz w:val="16"/>
                                </w:rPr>
                              </w:pPr>
                              <w:r>
                                <w:rPr>
                                  <w:rFonts w:ascii="Microsoft Sans Serif" w:hAnsi="Microsoft Sans Serif"/>
                                  <w:spacing w:val="-2"/>
                                  <w:sz w:val="16"/>
                                </w:rPr>
                                <w:t>постачальників</w:t>
                              </w:r>
                            </w:p>
                          </w:txbxContent>
                        </wps:txbx>
                        <wps:bodyPr wrap="square" lIns="0" tIns="0" rIns="0" bIns="0" rtlCol="0">
                          <a:noAutofit/>
                        </wps:bodyPr>
                      </wps:wsp>
                      <wps:wsp>
                        <wps:cNvPr id="407" name="Textbox 407"/>
                        <wps:cNvSpPr txBox="1"/>
                        <wps:spPr>
                          <a:xfrm>
                            <a:off x="129075" y="1297549"/>
                            <a:ext cx="713105" cy="342265"/>
                          </a:xfrm>
                          <a:prstGeom prst="rect">
                            <a:avLst/>
                          </a:prstGeom>
                        </wps:spPr>
                        <wps:txbx>
                          <w:txbxContent>
                            <w:p w14:paraId="74B224CF" w14:textId="77777777" w:rsidR="002F0C66" w:rsidRDefault="002F0C66" w:rsidP="002F0C66">
                              <w:pPr>
                                <w:spacing w:line="237" w:lineRule="auto"/>
                                <w:ind w:right="18" w:hanging="1"/>
                                <w:jc w:val="center"/>
                                <w:rPr>
                                  <w:rFonts w:ascii="Microsoft Sans Serif" w:hAnsi="Microsoft Sans Serif"/>
                                  <w:sz w:val="16"/>
                                </w:rPr>
                              </w:pPr>
                              <w:r>
                                <w:rPr>
                                  <w:rFonts w:ascii="Microsoft Sans Serif" w:hAnsi="Microsoft Sans Serif"/>
                                  <w:sz w:val="16"/>
                                </w:rPr>
                                <w:t xml:space="preserve">аудит та вибір </w:t>
                              </w:r>
                              <w:r>
                                <w:rPr>
                                  <w:rFonts w:ascii="Microsoft Sans Serif" w:hAnsi="Microsoft Sans Serif"/>
                                  <w:spacing w:val="-2"/>
                                  <w:sz w:val="16"/>
                                </w:rPr>
                                <w:t>найкращого постачальника</w:t>
                              </w:r>
                            </w:p>
                          </w:txbxContent>
                        </wps:txbx>
                        <wps:bodyPr wrap="square" lIns="0" tIns="0" rIns="0" bIns="0" rtlCol="0">
                          <a:noAutofit/>
                        </wps:bodyPr>
                      </wps:wsp>
                      <wps:wsp>
                        <wps:cNvPr id="408" name="Textbox 408"/>
                        <wps:cNvSpPr txBox="1"/>
                        <wps:spPr>
                          <a:xfrm>
                            <a:off x="2027877" y="1229680"/>
                            <a:ext cx="796290" cy="456565"/>
                          </a:xfrm>
                          <a:prstGeom prst="rect">
                            <a:avLst/>
                          </a:prstGeom>
                        </wps:spPr>
                        <wps:txbx>
                          <w:txbxContent>
                            <w:p w14:paraId="713B0432" w14:textId="77777777" w:rsidR="002F0C66" w:rsidRDefault="002F0C66" w:rsidP="002F0C66">
                              <w:pPr>
                                <w:spacing w:line="237" w:lineRule="auto"/>
                                <w:ind w:left="147" w:right="165" w:hanging="1"/>
                                <w:jc w:val="center"/>
                                <w:rPr>
                                  <w:rFonts w:ascii="Microsoft Sans Serif" w:hAnsi="Microsoft Sans Serif"/>
                                  <w:sz w:val="16"/>
                                </w:rPr>
                              </w:pPr>
                              <w:r>
                                <w:rPr>
                                  <w:rFonts w:ascii="Microsoft Sans Serif" w:hAnsi="Microsoft Sans Serif"/>
                                  <w:spacing w:val="-2"/>
                                  <w:sz w:val="16"/>
                                </w:rPr>
                                <w:t>визначення специфікації</w:t>
                              </w:r>
                            </w:p>
                            <w:p w14:paraId="001CDAB1" w14:textId="77777777" w:rsidR="002F0C66" w:rsidRDefault="002F0C66" w:rsidP="002F0C66">
                              <w:pPr>
                                <w:ind w:left="-1" w:right="18"/>
                                <w:jc w:val="center"/>
                                <w:rPr>
                                  <w:rFonts w:ascii="Microsoft Sans Serif" w:hAnsi="Microsoft Sans Serif"/>
                                  <w:sz w:val="16"/>
                                </w:rPr>
                              </w:pPr>
                              <w:r>
                                <w:rPr>
                                  <w:rFonts w:ascii="Microsoft Sans Serif" w:hAnsi="Microsoft Sans Serif"/>
                                  <w:spacing w:val="-2"/>
                                  <w:sz w:val="16"/>
                                </w:rPr>
                                <w:t>та</w:t>
                              </w:r>
                              <w:r>
                                <w:rPr>
                                  <w:rFonts w:ascii="Microsoft Sans Serif" w:hAnsi="Microsoft Sans Serif"/>
                                  <w:spacing w:val="-9"/>
                                  <w:sz w:val="16"/>
                                </w:rPr>
                                <w:t xml:space="preserve"> </w:t>
                              </w:r>
                              <w:r>
                                <w:rPr>
                                  <w:rFonts w:ascii="Microsoft Sans Serif" w:hAnsi="Microsoft Sans Serif"/>
                                  <w:spacing w:val="-2"/>
                                  <w:sz w:val="16"/>
                                </w:rPr>
                                <w:t>встановлення ставок</w:t>
                              </w:r>
                            </w:p>
                          </w:txbxContent>
                        </wps:txbx>
                        <wps:bodyPr wrap="square" lIns="0" tIns="0" rIns="0" bIns="0" rtlCol="0">
                          <a:noAutofit/>
                        </wps:bodyPr>
                      </wps:wsp>
                      <wps:wsp>
                        <wps:cNvPr id="409" name="Textbox 409"/>
                        <wps:cNvSpPr txBox="1"/>
                        <wps:spPr>
                          <a:xfrm>
                            <a:off x="1129124" y="2060565"/>
                            <a:ext cx="628015" cy="342265"/>
                          </a:xfrm>
                          <a:prstGeom prst="rect">
                            <a:avLst/>
                          </a:prstGeom>
                        </wps:spPr>
                        <wps:txbx>
                          <w:txbxContent>
                            <w:p w14:paraId="6DFE7AC2" w14:textId="77777777" w:rsidR="002F0C66" w:rsidRDefault="002F0C66" w:rsidP="002F0C66">
                              <w:pPr>
                                <w:spacing w:line="237" w:lineRule="auto"/>
                                <w:ind w:right="18" w:firstLine="54"/>
                                <w:jc w:val="both"/>
                                <w:rPr>
                                  <w:rFonts w:ascii="Microsoft Sans Serif" w:hAnsi="Microsoft Sans Serif"/>
                                  <w:sz w:val="16"/>
                                </w:rPr>
                              </w:pPr>
                              <w:r>
                                <w:rPr>
                                  <w:rFonts w:ascii="Microsoft Sans Serif" w:hAnsi="Microsoft Sans Serif"/>
                                  <w:spacing w:val="-2"/>
                                  <w:sz w:val="16"/>
                                </w:rPr>
                                <w:t>оцінювання пропозицій</w:t>
                              </w:r>
                              <w:r>
                                <w:rPr>
                                  <w:rFonts w:ascii="Microsoft Sans Serif" w:hAnsi="Microsoft Sans Serif"/>
                                  <w:sz w:val="16"/>
                                </w:rPr>
                                <w:t xml:space="preserve"> </w:t>
                              </w:r>
                              <w:r>
                                <w:rPr>
                                  <w:rFonts w:ascii="Microsoft Sans Serif" w:hAnsi="Microsoft Sans Serif"/>
                                  <w:spacing w:val="-2"/>
                                  <w:sz w:val="16"/>
                                </w:rPr>
                                <w:t>та</w:t>
                              </w:r>
                              <w:r>
                                <w:rPr>
                                  <w:rFonts w:ascii="Microsoft Sans Serif" w:hAnsi="Microsoft Sans Serif"/>
                                  <w:spacing w:val="-9"/>
                                  <w:sz w:val="16"/>
                                </w:rPr>
                                <w:t xml:space="preserve"> </w:t>
                              </w:r>
                              <w:r>
                                <w:rPr>
                                  <w:rFonts w:ascii="Microsoft Sans Serif" w:hAnsi="Microsoft Sans Serif"/>
                                  <w:spacing w:val="-2"/>
                                  <w:sz w:val="16"/>
                                </w:rPr>
                                <w:t>винагород</w:t>
                              </w:r>
                            </w:p>
                          </w:txbxContent>
                        </wps:txbx>
                        <wps:bodyPr wrap="square" lIns="0" tIns="0" rIns="0" bIns="0" rtlCol="0">
                          <a:noAutofit/>
                        </wps:bodyPr>
                      </wps:wsp>
                    </wpg:wgp>
                  </a:graphicData>
                </a:graphic>
              </wp:inline>
            </w:drawing>
          </mc:Choice>
          <mc:Fallback>
            <w:pict>
              <v:group w14:anchorId="6BA3FB92" id="Group 403" o:spid="_x0000_s1071" style="width:228.2pt;height:196.5pt;mso-position-horizontal-relative:char;mso-position-vertical-relative:line" coordsize="28981,249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1dpUbgMAAHANAAAOAAAAZHJzL2Uyb0RvYy54bWzcl21P2zAQx99P2neI&#10;8h6SuHkWLdrGQEjThgb7AI7rNBZJ7NnuA99+Z+ehXTsERYMXCBHZsXP+3/3ursnZ+aapnRWVivF2&#10;6ganvuvQlvA5axdT99fd5UnqOkrjdo5r3tKp+0CVez77+OFsLXKKeMXrOZUOGGlVvhZTt9Ja5J6n&#10;SEUbrE65oC0sllw2WMNULry5xGuw3tQe8v3YW3M5F5ITqhTcvegW3Zm1X5aU6B9lqah26qkL2rS9&#10;SnstzNWbneF8IbGoGOll4BeoaDBr4dDR1AXW2FlKdmCqYURyxUt9Snjj8bJkhFofwJvA3/PmSvKl&#10;sL4s8vVCjGGC0O7F6cVmyffVjXTYfOqG/sR1WtwAJHuuY25AeNZikcOuKyluxY3sfIThN07uFSx7&#10;++tmvthu3pSyMQ+Bq87Gxv1hjDvdaIfATZRmaRACHgJrKMyiKOrJkArwHTxHqq9PPOnhvDvYyhvl&#10;CEZy+O8DCaODQD6dcPCUXkrq9kaaZ9losLxfihNgLrBmBauZfrD5C3SNqHZ1w4iJrpnsMgkHJtcN&#10;XlBgEhomwy7zjGFwYKKombhkdW0ib8a9WEj8vcT5h79dUl5wsmxoq7sqk7QG3bxVFRPKdWROm4JC&#10;0sjreQDYoMI15I2QrNVdSSktqSaVOb8EHT+hEI1QnI8LVvRWp3FB9Qn23Jzx/Z2cCSNkjh7J41xI&#10;pa8obxwzAK2gAcKNc7z6pno1w5Y+hp0Aqwz0mNyHrqSG6MHsIH5HFd5thQUFCcbsLuRogHwHFVHw&#10;DWCOjC/9PlN3jt585lAqwXD/kViFSYoSSBoopCBNs8zux/lQaXHmp2kftEmIUGzPeXHMjMBOiBnp&#10;TbGxrSSIB5UFnz+A+DU02Kmrfi+xKZz6uoVAmm48DOQwKIaB1PUXbnu2IdbyT0vNS2apmaM6u0DN&#10;TIDQm6GKD1GNzgLSY1AFSZYkETTdR1glEx9BH7RN8RVZJe+WVXLIanT2WFYo8xMoU4MKZUkUZiZq&#10;27pKgkkANfvarNJ3ywpeE7t3j20LHJ09khXyUZImAN/CQlkMDe9vWFkMODtYYRTDn1n/703Qpsi2&#10;Wb2jJpgdwhqdPRJWAOUUoO4HC/mx38PYVlaMUj949cpCNkXeFpZ9NYXXept6/SeI+W7YndtfuO2H&#10;0uwPAAAA//8DAFBLAwQKAAAAAAAAACEAAJxCDnkwAAB5MAAAFAAAAGRycy9tZWRpYS9pbWFnZTEu&#10;cG5niVBORw0KGgoAAAANSUhEUgAAAT4AAAESCAYAAABkVrl9AAAABmJLR0QA/wD/AP+gvaeTAAAA&#10;CXBIWXMAAA7EAAAOxAGVKw4bAAAgAElEQVR4nO3dd3zU9f3A8dfnLoMM9iaA7D2FyrSg4lbAVVdF&#10;q9i6R9WfYh21VltXHa2tq3XUbUVQEQEBFdlTZO8NScjeyd29f398v9/LgSG5JHfkjryfj8c9knzu&#10;+717X3L3zuf7maBUPSci/USkRCwP13U8KvxcdR2AUhGgNxBnf/+LugxEHR+a+JSCcQHfjxKRlDqL&#10;RCmlwk1EWopIuhzpwbqOS4WX1vhUfTcYaHFU2Vl1EYg6fjTxqYgjIkZE4kUkSUSS7VsDEYmr+uxq&#10;GwFQXFZKRn6uUzZURHqF4blUhIip6wDUiU9EmgEdgDZYtavmQFOgCdAISAaSgAT7Fg/EYr0/jf0w&#10;HsAnIiVAsX0rBPLtWw6QDWQBh4E04BCw2xhTcoy4EoDLATbu2cTUlTN5/Ff3Y8dyHfBAiH4FKsJo&#10;4lMhIyI9gG5AZ6xE1xFoZ3/twPF/v+UCe0RkL3AA2APsAnYD6+y4egFs3b+Fr7cv5N6iXBonNAI4&#10;/TjHqo4jTXyqRkSkO9AfayhIT6A70AerBhc0j8Ch7Ewyc9MpKMzD4ynG4ynB4/NYBxhAQBDcxkWM&#10;Ow53TDyxMQk0Sm5K6yYtaZaUeKyHbwT0s29H2wkU2c/A2gNbWJGdy+xV87hs1ESAgSIy3BizpDqv&#10;R0UHTXwqKCLSDxiK1RnQHxhCFUkup7iYjbs3kJWbRlpeFuk5qRR7CkkvyCezMJvCsnxKfT72lRax&#10;prgAPGXg84HIUU9uf3Uuel0GXG5axjWgT3wSTWNjiXPHkRTXiBbJTWgS34CkBk1o26Q1zZMakdKq&#10;K71SOh0dXmd/nIV5fLlzGQjM2/i9k/jigEmAJr4TkCY+VSERaQ2MBoZjJbzhQIOKji32Cmu3r2Fv&#10;+h52Hd5NWl4Ge3MOcagom/m5h6HM66+5+b86TMANguxuE/B5SC/K57vC/CMf15Qf4nzfNiGRoQ2b&#10;0yqxOR0at6JVo1Z0atmBbim96N72JD5fMYsfC7IhBpalbyOjIIfmSY0BfikibmOMN8hfm4oSpupD&#10;VH0iIrHAw1iN+x0qOmbbob38tHMN21N3sDNjH9uz9zMrJ/XIBAfW9y7q/l3ms2+BcQh0S0qmf3Iz&#10;luQc4mBZqf/Y10+7nslnTnLOvMAYM/N4h6zCq67fkirCiEhnYEdg2d7Dh1i6eQnr929i2+HdLMnc&#10;y7b8fCupOTWrSEhw1eUkRBflNU0PTDqpL2/f9LJz1LvGmGvqIjwVPnqpq46WitXj2S+3uICHPnyC&#10;ufvXsyE/pzyxGazBJtEuMOEFlC1K38nO9P10bpkCMFJEEowxRcc/QBUuOoBZHcEYUwh8CBDvjiGz&#10;OJ8NuTnWv0i3fTuR3zUu2FZYyKdLpjslXYCL6zAiFQYn8ltY1dxSgPjYeM7uOdxKelLFGSeYZbtW&#10;Bf6oie8Eo4lPVWQ11swH+nfsS4w72hrvaskNszL2sHbXJqdkpD37RJ0gNPGpnzHGZACfAvTs2Ivz&#10;m3eG+jSgw0BucSnvL/zIKWkDXF2HEakQ08SnjmUeQEJsPGf1GB76R/dhJVPn5gm4VVRW0f2BNx+h&#10;uxy3H6dMjsj254fo0VUE0F5ddSyrgBIgvn+HvuXtfMFe9QpHJqPA8X0uQ6sGiQxKakSyO5YGMYk0&#10;iEukYVwiyXHxJMTEYI7xPGVeH0UeD7klRRSUFlBaVkSxt4TU0hIWF2ZDaenPBzQ7X91BxO2zgp0y&#10;8DSmXHxv4D1pQb5yFQU08alj2QnMBc7r26kvQ5OasSI3s+Lk4SQ553uAGBenN2tFm4QmdGzShiYN&#10;kmneqDXtmrQkMT6J1s07cFLrjiTGhOaiIz0/n92HdpGfn052cT77Mg6SU5jJofwc0vJS2VKYxZrc&#10;rGMmwVis8deNY2N4dvSvmXzmdYF3vwPcHZJAVUTQxKcqZIwREZkGnNcsuQkXdB3BipUzrITh1OSc&#10;JBcXy4Ut2tK1SXtSmraic8vOtG3ajv5dB9Ew7vgM+GuZnEzLbhWtRWDZl3WYrXvWsy/zIN9uWcR/&#10;9q49ovZaVgYDGzXmL2ffzrlD/CvRe4BHjTFPhjN2dfzVs+46VR0icjKwHHBNXzKDidOfAYF2iQmM&#10;ad6Rni0707VVF3ql9GJo9wFBPSSwFzgIpAOZWOvn5WKtqVeAtWJKCVBGeQueM9Q4BmvxgHggEWvd&#10;vIZAY6z1/ZoDrYAUfr6qst/BzFSGv3Q1e8o81ifAAxNSevDk+Lvpc1Jv57AM4CZjzP+C+mWpqKI1&#10;PlWZDVizOAac3HUwjww6m84tOnFKj6H06dC9svNygY1YU992YSW7fVhr4u01xoStvcyea5yCNc+4&#10;LeXrAvYGzgBcqVmHKBGxa62G3/cdzUOXPEDTxCTnYdYAk40xK8MVp1IqgonIH6RyPhFZLiJvish9&#10;IjLeXpA0oojIKBHxioi89c07wv1jhIdPlxdmvHL06/lIRFrWdbwqvLTGp6qyuIKy5cAK+7YGWG2M&#10;ifS5HeMAl9fn46tNi2gUH887597OhOEXOPcL8ATwSBS8FqVUONmb/jwuIh+LyD0iMkJEomr8p4gk&#10;ishGEZE129fJhS/dKCu2rAqs5WWLyK/rOk6llAoZETnFviSXgxmpkpqdEZj0NorIyLqOUSmlQkpE&#10;bjpG++TnIpJS1/EppVRIibVH7+wKkt6zYvUAK6XUiUVEeolIaUDCyxeRyXUdl1JKhY2IDA9IejtE&#10;5LS6jkkppcJKROJE5G4ReV5EutZ1PEoppZRSSimllFJKKaWUUkoppZRSSimllFJKKaWUUkoppZRS&#10;SimllFJKKaWUUkoppZRSSimllFJKKaWUUkoppZRSSimllFJKKaWUOtIrL73QeOP69fdP+/TTaSLS&#10;t67jUUqpsHr6r0+dmZ56aLnYtmzcMK2uY1JKqbBIPXjgtM8//eTPIpImAXKzsz3fzPr6srqOTyml&#10;QkZEeovIO4HJLjU7Qz78/hMpLi3yV/xEpEldx6qUUrUiIg1F5BERyQhMeh//8JmMe/ZK4f/GyL9m&#10;vRl41xN1HXMomboOQCl1fInIVcD9wACnbM3O9fxr7pu8tnMliAAwolFTZtzxX5omJgMcAn5hjNlX&#10;FzGHmiY+peoJERkCTAEuccrSczJ47Zu3eHP9N2wvLIIYyrOCB54adhH/N/FO5/BXjDE3H9+ow0MT&#10;n1L1gIhcBLwDJAP4BN779n1eWzGNHzLSwA2xLigLPMkH/RKT+fJ3b3BSizYAGcAwY8z24/4CQsxV&#10;1wEopY6LC7CT3k+7N3LDa3cyafZr/JCVBrHA0UkPq2xdfj6vzHnDKWmOdYkc9TTxKVU/fOZ8k52f&#10;zVt71lqffncVZ7ngix2L2ZHmb9q7WES6hivI40UTn1L1w0xgKsCoPiN4sP848AVxlgvW5xfw+tw3&#10;nZLmwD1hivG40cSnVD1gjPECjwFlLgPXnXo5nRMTgkt+Br7euZSD2RlOyUQRaR22YI8DTXxK1RPG&#10;mLXAvwC6p3TjloEXgGDdKuOGNXn5vDH3LaekLXBH2AI9DjTxKVW/vIHdj3HhyeeQEh9XdeIDMLBg&#10;5zJKvP4ukAtFJCZcQYbbCZ/4RCRGRJqISIqI9BCRk0VktIi0rOvYlDrejDE/Aa8D9Gzflcm9Tw+6&#10;rW9OVhrvffc/p6QvMDFMYYZd1I7jE5E4rO75pIBbQ6AT0BPoAbSu4JhkrIQ/HxhnjAnmz67UCcNe&#10;amolEL953zbG/PsWUktLq64GeeCKlG58cJt/eMvXxphzwxpsmERF4hOReOBcYAzQDatn6eiElkT1&#10;X89VxpgPQhiqUlFBRF4Cbgd45MM/8/iP31izNio9CZLcMXxz1VMM7zkEoBAYbtcio0q0JL5LgU+q&#10;c05GXg4FBdmUekvJLSqkoCiXzIIcPBguGnY+LuuVLzDG/DIcMSsVyURkILACiFm1fS1D3r4bfN6q&#10;M0IZ3NZzOH//zV+dkn8aY24Na7BhEC2NkwVYLRFHVMYPHD7Emh2rKfWVsSMznXX7t1BQlEqpz0tG&#10;SRGFnmKKxcvWsjJKPV7wCsQY5iQ0YtzAUwFGisg5xpiv6+JFKVVXjDE/ish7wLWDugzg7m4jeH7j&#10;D1VnBDd8d2AdB7LTadekJcBZIpJojCkMf9ShEy2dG19jTblZH1joFfhk7Twumv437vn2v7y5Yykf&#10;H9rFtLS9LMg5zMrCfNYXFVHq9YBLrKk5XuHtRR86D+EmyrvllaqF1wBcBs4bcIb1aaiqh9cFP+Xn&#10;89GCj52SbsAVYYwxLKIi8RljxBgzExgO/B5IB+jQsg1vTn6G2Zc/ypmt2ljVdGcajtv+3sWR1Xc3&#10;fHFoCyu2rXFKThORYcfrtSgVQZYCcwBG9hnFhNbdgh7QvHDnCnzlSfLiMMUXNlGR+BzGmHxjzPPA&#10;L4C3sccjnTnoND699d88PnR81QMyDeSUlPHqt+84JQ04AabgKFVd9myOfwEkxsVx1eDzrDuCqPV9&#10;nbGXNTvWOiUjRaRduOIMh6hKfA5jzG5jzHXAOVjd8jRMSOKyYRNoEVPVrGvADbP2r2PDns1Oydki&#10;0itM4SoVyeYBuwBG9RpO78TEqhOfgYISD/9b6l/3oCkwOXwhhl5UJj6HMWYe8ILz86rtqzjsCaKu&#10;7oK9RaW89f37Tkkj4N5wxKhUJDPG5AAvA6S0aMcVPccGPaB5+YENlHhLnZLTwhRiWER14hORJKw2&#10;PzLys3lt2VRr2exgBum44fOdy9hxaI9TMj7aqutKhchX2M1GY3qPCrqT45ucdOavXeyUDImm5aqi&#10;OvEBpwKDARZvWMi3WQeDf0Uu2FxYxH8X+Mcvt0Rrfap+2gh8ATC028mc0+Kkqmt9BijzMfunOU5J&#10;Q2BS+EIMrahNfCJigBsAynxePlk92/pjBVPbE/yjAqdu/YH9WWnOPZeJSNOwBKxUhDLGCPABQFKD&#10;BC7td0ZwJ7rgp7StFJX5L3dHhSXAMIjaxIe1Q9REgKUbl/HO3rXHXk02sKfXB8luF70aWGuRrc3J&#10;4/3v/G197YE7K3wMpU5sPwBZAEO7DqFBjCvoy93Fm5Y7JYNFpFU4gwyVaE58F2KPM5+9br41mvlY&#10;tT1j3wRSYmP5aPwUPr/+7/zllPEQF8cHG+eTXZDrHH2ViCSGP3ylIocx5hDwPkC/k3pxcdu+4K3q&#10;JKDUx7x1c52SZkTJYOaoTHwi0gy4CWBP2l4+3PJ9cK/EC+Pa9uK8IWfSPaUbD1z0e1Zd9ywdk9vw&#10;2eIvnaO6A78NU+hKRbKZAG6Xm7N6DvdXFirlhvVpO/D6/FkyKua+R2Xiw+rUSAH4YdNithYVV922&#10;J0Csi18P/9URxYO7DuDjW/7J2QOP6I2/TkRiQxmwUlFgGZAJ0P+k/rhjgkgPBpZn72dH6l6npL+9&#10;ZFxEi9bEdwVAUZmHT9fOtZLasRJfQNveJS06OosTgDXw+RNA4txu2rVsG3jWQOCq0IetVOQyxqRj&#10;r4LUq0MvzmnRuerLXRfsLy5jxkr/Oh9dgVPCGGZIRF3iE5Fu2J0aK7euYGrqlsq3yHMSosAvux3R&#10;6fSiMeZXwHhgQwVn/lZEgpgGotQJZQ5YU9jO7TaMYFeu23Rwk/OtG+szFdGiLvFhXeY2AFi8dRl4&#10;ghiw7IPBDRtx+ehLnJLN2P/ZjDFfAsOwxvClB5w1EhgRysCVigJrgBKAnu16QIwENYVtc/Z+isqK&#10;nZK+4QwwFKIq8YmIC/sSNCM3k6mbjurUONYCBV4Y234ArRs1c0pmGGP8fyV78YPnsBY/+C9QBOwD&#10;DoThZSgVyXYACwD6d+pLn/jg5u7+VJDJtgO7nJLeItIgjDHWWlQlPqA3MBZgzY4fWZJ3+MjanjNs&#10;JZCAKy6GS0/x74uSh70ixdHsxQ8mYSXAUcaYHaEMXqlIZw9m/hygdZOWnNfplKDa+TJKvHy9epZT&#10;0hEYEsYway3aEt8w7LF7S3esBg9VX+Z6YWLzFEb2GuqULDbGbKvsFGPMemPMnsqOUeoEts75pn+7&#10;7laWCGILyh2HdzvfuoGzwhFYqERN4rOnqF0KcDg3k+lbF5Z3alT2RxEY0n5AYMnUMIWo1IliA5AD&#10;0K1NV9wxFdQujv7MGdiXl05Z+Xi+nuEMsLaiJvFhdZOfBvDTrnUsy88or+1VMpSlQ0IcFw+b4JTs&#10;w56TqJSqmDEmFWudPrq160q32IQKE93RP2/MSyMty98/2DWSR0VEU+IbjN2bu37vhqAvc0c270iP&#10;lG5OyWJjTG5lpyilAPgOoEXjlpzRfmBQq7VsLyllwcZlTkkXoHE4A6yNaEp8YwEKS0uZuW1ZFYeW&#10;G9i2t7OVJMBnlRyqlCq3FayNiPq26VL10QbwCFsO+JsHm2J1EkakqEh8ItIYe0OTLfu2MC9jV+WD&#10;lsFakKBBHBPLL3P3YK85ppSq0jagFKBjs3ZBL066P8d/qWuwxsJGpKhIfEA/oDXAlv2bKPYGsTa2&#10;D4Y1TaFniv+/1XJjTH7YIlTqxLIXq7JAh1adaOIKYpkqA2mFmZT5/J/PzuEMsDaiJfH1x27R+3Hf&#10;RmtcURCzNXq16IzL+F/ivDDGp9QJxRhTBMwHSGnejjZxyUGcBNvzM8gvyHZK2tqjMSJOtCS+MQAZ&#10;uVnM2Lmy4stcOer7WBdjy1eSzQL+F94QlTrhrAVo1rApp7btVfVAZiC1rIiDOZnOjylARK7UEvGJ&#10;T0SaA2cCbDmwjXXFORXX9gLLBEYkN2FEz8FOyRpjTFoFZymlju0AWB0cXZq2rvpoA2mlPn7YuNQp&#10;aYu1F0fEifjEB/TCWtmVnYd24PUGMYTcB72bpJAc719IeW1lhyulKrQPa+AYHZu3r7qDwwA+IT3L&#10;P+mpEdY004gTDYmvO3Z9bnPajuDa9wS6tjgp4Ce+ruRopVTFDmCv1NI0sVFwK1QZOFyY5/zkwuqY&#10;jDjRkPj6AeQXFzJ/z09VD2PxQVy8m3EDznRK9mGvNqGUqpYM4BBAyybtaOIOomcXyCjMDPyxUzgC&#10;q62ITnz2EtZnAhzIOMiWvNSg/usMSWxEn47dnR83GmMKwhakUicou2d3DUDbpi1p5nJV/fkzUOgp&#10;DhzS0iKcMdZURCc+rF6hHgA7Dm4j1RtEt5IPujdqG9i+tzls0Sl1AhARt4i47PUuj7YRIDE+icS4&#10;hkGN5dtblE9xSZFT0iiUsYZKTF0HUIVOQDzA3swD/k3AKyXQofER+2csCk9oSkU3EUkC/oa1R4ZY&#10;ReJU1XxAGdABIDmpMf2bd2Jdblbln0EDOaUFFJcU0jAhCWC0iLxtP77HvvmwZoW4sFY9f8cYs/tY&#10;DxkOkZ74OmJXrvdlHbR+XZW18QngNnRv618RJxd7EKZS6meGEeRWqrEu6NGkZdU1PoF8bxlF3jKn&#10;pA0wqYqzRgLnBhNHqER64usCUFBcxA8HNgdX24uLYUw//xTBHVgNtEqpn1uPtaXkEbui5Rbmsi9t&#10;N3ExDYhxu4lxuTmYncbsHcur7lx0wf5SD+9+9xHXn34Nse5YjDGICAZo1rDCBVv2VlQYTpGe+AYD&#10;ZOdnsS3nQFAtkl0Sm9KyoX9vjV3GGE/4wlMqehljUkXkDOAPwO+xZ1mU+uA/C6fxwbaFNHNBgstN&#10;uqeUXaVlwfUKuOAPqz9n+ubviHfH4BEfeV7hql5jmHLxXYFHlgHPA4+H+rVVJWITn4g0xF63f8/h&#10;/aT7gujYEGif2ISkBv6OjeP+n0SpaGIv3DFFRL4D/gF0bZHciD9ecg9dvm3DvUs+pii/2MoUR2/s&#10;BceeRSXCsrxsa9xtjOGRgecw+fSrA4/aAdxsjJkd+ldVtUju1W0NNAfIyEmlyBfciiytG7YKLKlo&#10;v1yl1FGMMV8Dw4H/ACQ3SOSWc25kwTXPcn7bLlb7euBHsKKNvY4mcGqL1sy/4nEe+9X9tGzS0rnn&#10;Y2BkXSU9iOzE1waIBUjNzax6BVhbiyR/G0IZsLSSQ5VSAYwxh40xN2Bt4XoIYEjXgXx48z94evgl&#10;uNwx9gS2KvgAgdt6juB/N/6Dsf1HO/fkALcDV9jL29eZSE58LbDjS81NtX6Zlf2HESDG0KWtfy/j&#10;TKzFFJVS1WCM+QAYAXwJkByfyH0TbmfuZY8ypmlLK/kdq3fXAx3iE3jrzFt58dq/0Kq8lrcYGG2M&#10;+Ye9hWWdiuTE579mzSwKYv1QgY6xbn7R1T818CBQXMkZSqljMMbsAiYCtwLZAGP7n8rUm1/joUFn&#10;gXEduUyVD/DAxe268+U1z3Lt2MucLR+8wEvAWcaYdUSISE58LQAKiotZmrojqEiT3Q1o3CDJ+THd&#10;GFNW2fFKqWMzxniNMf/E2u9mCVhr8z1++YNMu+BehjRsXD4k2eXmsZPP5c3JzzOgs/+qay8w0Rhz&#10;Z6Stfh6xvbpAO4D8ohxSC9KDG8OX2ITERP9KsemVHa6UCo4x5kcROR24D3gASJgw7DyGdB3E49Of&#10;58f0HTxx3h2cMWBM4GnTgFuNMQfqIuaqRHLi6wxQ4imjTDxWm0IVvUgt4hsQHxPv/KgDl5UKEXvB&#10;gj+JyPfAv4Be7Vu048Xr/kpefjYtGzd3Ds0H/gi8YIwJYgxa3YjIS10RiceetZGancFhny+orvN4&#10;d0LgVpKZlRytlKoBY8y3WB0ffwd8DdzuwKS3AhhjjHkukpMeRGjiAxKwd1XLLcgi3xdcJ1DDhCMW&#10;gtDBy0qFgTEm2xhzB3ApsAvIA14BxhljVtVlbMGK1EvdJOwxfKWl+SDBLTffrHzGBmjiUyqsjDGf&#10;icgPQDNjTFQt/xbJic8NBC5oWKU4t38GdSlQpwMklaoPjDHpRGFHYqRe6iZiJ77C0pKglrvGBfFx&#10;/g2dStDEp5Q6hkhNfPHYsRWUFAWX+IwhPt7fxlcC6HLzSqkKRXziKyorBjHH7tUV/ENdkhP983RL&#10;CC5dKqXqoUhNfHHYsXk8ZYAcO405CdFlaNHI361eQtDLGiil6ptITXz+uPxbAFQxjs8YaFi+wVBl&#10;06iVUvVcpPbq+hNfqafUSmNHJ77AhRB9IDGCu3z0shdNfEqpY4jUxOcfl3LmoDNp3rQ9jeLjMMYQ&#10;43IR544hMK+JgHG56N62o1PkQxOfUiqaiMiFUjub7WlvSin1M5Fa49uENRWmA+WXrc4Nymt0gWVe&#10;rAtfLzALaxCzUkr9TFVT/+uMiLQB2nJk4nN6aqWCm7NGsxfYE+mTpJVSSimllFJKKaWUUkoppZRS&#10;SimllFJKKaWUUkoppZRSSimllFJKKaWUUkoppZRSSimllFJKKaWUUkoppZRSSimllFJKKaWUUkop&#10;pZRSSimllFJKKaWUUkoppZRSSimllFJKKaWUUkoppZRSSimllFJKKaWUUkoppZRSSimllFJKKaWU&#10;UkoppZRSSimllFJKKaWUUkoppZRSSimllFJKKaWUUkoppZRSSimllFJKKaWUUkoppZRSSimllFJK&#10;KRVCInK6iCwUkddEpGVdx6OUUmElIj1E5ICUWysiI+s6LqWUCgsRaWzX9I6WJyI31nV8kcjUdQDR&#10;SESSgIYBt2QgEUiq4NYQWGOMebduolUnMhFxAW8CkwCWbFzKoex0Jo64IPCwfwIPGGPy6iDEiBRT&#10;1wFEGhEZA4wBEvh5EkvESnINj7q5qn5YWWGM2RSuuFW99TB20tuVtpfbP3+KFblZPJW2k3vH347L&#10;qtrcAvQXkduMMWvrMNaIoTW+ACLSGViLldxCaS8wzBhzMMSPq+oxEbkWeAsgp6iA2966h3f3bAI3&#10;4IMbOg/hD+PvonPrDs4p6cDtxpiP6ibiyKGJL4CIXAF8EFhW4oXDuVlk5mWQV5BNaWk+pZ5iyrw+&#10;cooLySnMpaS0iILiPFwxMVz1y6s5qUXbwIdYBNxijPnxeL4WdWITkbOAz4F4j8B97z7CCxu+P/Ia&#10;rgxGNWvFH8++lXEDxzilPuAp4FFjTNlxDjti6KXukcYCFJYW88B7f2Rn1j58RjhYUsyG0kJKykrA&#10;67OOlICzPNAiOZ7nx15Pm6bNAx/vX1htK7nHKX5VD4jIKcB7QDzA85+/aCU995HHxcbCwqw0rpj6&#10;OE8c2sHvzv4NWM0yU7Aufe8wxuw8vtFHBq3x2USkBbAeaLV62xpOfusu8GC9TQzlv6mjf2NeuCyl&#10;D49ecDt9T+rtlOYD9xpjXj0esav6Q0T6AV8AnQDemPseN859vfx9WhEfIHBnz1E8OPFeWjVu6tyz&#10;C/iNMebbsAYdgapqlK9PBgKtANbuWW/V6GKw/osenfwcHvh1h978+8YXApPeKuBcTXoq1ESkB/AJ&#10;dtL7bNnX3PjdmxW/NwO5rNuLGxdyxRt3sGqbv9WlE/CH8EUcuTTxlRsK4BNYtGut9V+yqvqwQPfm&#10;HWgYF+eUFAB3GmN+CGOcqh4Ska7Ap0AvgDlr5nPzzBfA6wnuU2wAF+wtzMTn8wXeMyf00UY+TXyA&#10;iMQBlwHsO7yfr/euCe4344b3tixi/rqFTkkS8IL9JlUqJESkOzAV6AewcP0P3Pr5M6QWFxMb7CfY&#10;B0mxMbx03t0M7THYKf3MGPN0GEKOeJr4LL2AwQBrd/7EnrKS4Fo/XbClMJ+bpz/F9xuWOKVDgGki&#10;0jNMsap6RET6ANOAAQCLNixm8tQn2VpcSGwMBNUtK4Bx8fypkzh3yDindB3wu3DEHA008Vn6YP8u&#10;NhzYDF6C7vaJdcPm/FymfPkc21J3O8X9gPfsDhOlakREUoCPsN6fbN2/jVun/YVNhYXEuoNMegAe&#10;uKnLUG4cN8kpKQXuMMakhzzoKKGJz/JLgILSYubtXFWtvu4ygBhYlJ3OTe89xJaD/tEBQ4AvRKR9&#10;iGNV9YB9xTAb+/L2p90buO7d+1iTlwvB1vQAPHBJSheevGxKYOn9xpj5oY04utT7xCcizYBLAbbs&#10;28o3WXtr9ltxw9z0vVz37hR+2r3RKR0OzBKR3pWcqdQR7FVV5mDX9FZsW8N1709hUXZW0CNvYwE8&#10;MLJpK5761R9p2gL1zdcAABANSURBVNA/hOVFY8wLoY86utT7xAcMAloCbNizDq/XZ7WJeO2br7JT&#10;jxIDizMPcc37D7Jq2xqntA8w154DrFSlRGQiMAPoADB37Q9M+ughVuXlBJ304oAyD/ROasjLlz1C&#10;19Ydnbs+Ae4NfdTRRxNfwDCWZbvXQSnExsTwzPDLeHPcjXSIi6928vsxN4srP3iQuWu/d0rbAjNE&#10;5LoQx65OICJyO1abXhOAzxZ/wZVTH2djQf7PZmVUptQLnRMa8OZljzCocz+n+HvgBmOMJ8RhR6V6&#10;PXPDHsbyA/CL3al76PTydQxNaMoLE+9jVO/hAHyxYg5XfvE0BZ6yoP9NxGG9+ZJiY3nljJv59S8v&#10;du7yAU8DD+sbUDlEJBHrfXGrU/bqnDe5ZcG7+DzeaiU9vNAuPp63L3qQcQP8FxlrgHOMMamhizq6&#10;1ffE1x9YDbhnr5zDByu+4OGJ99Kl/NIAgGlLvuRXM1+gzBPkYFGHDzAu/jLkQu6ZcHfgmKupwO+M&#10;MYdD8DJUFLPHfL4JnApQWFrE09Nf4rE1XwNS7fdbw9g4Prjwfs4fcoZTuhU4yxizK5RxR7v6nviu&#10;Ad4ByM7LIb5BEgmx/oaUH7Ha/toBTF00nStm/b1myU/gth4j+dMl9wU2Mq8DrjPGrAzFa1HRR0Qu&#10;AF7Ffo8dyEpnyidP8s6O1VZ7XnU+nV5oFBfL2+ffx8RfnOWU7sGq6W2s5Mx6qb638Z3tfNOkYePA&#10;pPcGMBoYj7WGGRePnMCHZ99ObExM9dr87HmS/9i8iBvevJcNe7c49/QDvhWR22r7IlR0EZEGIvJH&#10;rClo7QAWbVrG5a/fxDs7V1tdskEmvTgALzSLizs66R0AJmjSq1i9rfGJSFtgI9A4oDgP+D9jzCsB&#10;x43CGjnfAmDaki/49cyXKCgrq17bC4AH+iU35Jnz7uKcwWcE3vMBcJcxJq0mr0VFD3to06vYl7YA&#10;b857jykL3iG1pKRa76lYrN7b9gnxvD7+Ac4ZdJpz10HgQr2aOLb6nPguwFrex3HMS08RGY3VLtcS&#10;4ItlX3P9zBc4XFJc/eTnBdxu/jTwHO6+8DaS4xOce7YDtxljvq7ua1GRz94b43rgr0BzgMy8LJ76&#10;/CWe3vAt1W7PA/BCj4REXr3oQcb2G+2U7sdKeqtDFPoJqT4nvrOAWfaPHwO3VtbZICLDsZJfW7DG&#10;V93+xV+rPdQA8Lf7XZHSi4fH/54+HXo493iA17B6fTOr+agqhETEDfwCKDDG/FTLx+oKPA9c6JR9&#10;v34xj371PN9mplnvn+p+Ej0wsFFT3rj0YYZ2P9kp3Yl1eVureOuD+pz4YoAzsFax/dIYU2XLnYic&#10;jJX8TgJYuf1Hbv/kURbnZFd/LWt7kHSPpGQeGzuZK0ZPDLx3M3C3MWZmNR9VhYiIXIzVBlcEjDbG&#10;rKrBY8Rj1fL+hN1UUlBaxOtz3uIPyz6jsKy0+v80ATxwZquOPH/JH+jb0b8WxgZgojFmaw0esd6p&#10;t4mvpuw5lNOw10XbcWgXN73/KHPSd9fsP7cPwHBbt2FMGX8n7Zq3DbznPeAhY8ye0ESvgiUiHwG/&#10;sn980RhzVzXPHwk8hzVtEYBlW1fz+Ff/4MvU7f718aoXFOCBqzv24snLH6Fj83bOPUuAy4wx+6r5&#10;iPWWJr4aEJF2WNN/RgIczsvm4U+e5JUtyyofhuDs03H0/QL4YEjDxjwwdjITh19ITPkxaVibw7xq&#10;jCkI5etQFbMXlthI+W57S4CRxhg59llHnPsAVk0vASCvqIDXv3mbv66cTnpJSc12urHfI3f2OpU/&#10;XXY/jRL8GwHOBH6tTSPVo4mvhkSkIdbA00sAispKePbzv/PI6hkgdkO1UO2xWBi4vtMQ7jnnd4Ft&#10;f2Ataf+QXv6Gn4iMB6YHFBUCQysbGiIijYDfYCW9Nk75/LULeHLOK3yTsb9mtTywB8K7ee6Ui7nj&#10;wlsD/ym+hdU2XViDR63XNPHVgj3l7UngHqfs7fnvc993b5FeWsP2G/s/e/sGidwx6Hwmn3ZV4KBn&#10;gC+BR7TXLnxE5FkC/qa2PxtjHq7g2AZYq3c/DHR3yrcf3Mlr89/l6Y3fgsdb8/0MPdArKYlnzr2L&#10;C4ac6ZR6sd53jwZTC1U/p4kvBETkFqz2nAYA361fxANfPMuSnMyatfuBv+d3XPMU7hp7LeMGnUV8&#10;eSItwepk+bMxZkPtX4FyiEhjrN32Uso8HmvAumWeMeaMgOPigQuAh7BW+AEgKz+Hd757n7+v+oLt&#10;hYX+AezVDwTwwoQ2XfjThHsZ0KmPc08e1j7N79bgUZVNE1+IiMi5wH+wL3P2Z6Ty6GfP8u/ty2v3&#10;5rc3Pbq6fT9uO/06hvccGnhEAVYCfMoYs752r0ABiMhYYD7AZ0u+oEF8Q84dPBYgB+iGtXXoBOBB&#10;7OXgwdqL+dPFn/PvpR/zXdbhmv/Nwd/hdV+fMUwZf2dgjX8jMMkYs6KGj6xsmvhCyN7+723snrwS&#10;bxmvzPoP9y39H2WlZTW/3LH/+7tiY7i581BuGPNrBnfpF3hEEdYabk8DK/Typ+ZE5D7gaZ/Ab9+4&#10;m3h3DC9f/4xz92ysYSn+gXOlXh9zVs/l79+/xayMA1b7bmATR3XbeT3QOSGRJ07/LVceOcRpOvBb&#10;nd0TGpr4QkxEkrBG5/vn4M5fu4BHvn6RH7IO1/zSF6yagA8axcUxudtwrj31SgZ0OmJxZy+wGOuy&#10;e54xJreGz1Qv2W22C4Ghe9L20fflaxndqBVf3v0ebteR1bciTxnz1sznXz+8x4yMPeCR2v9tBS5r&#10;15OHLrgz8NK2FOv99GdjTNArzqvKaeILE3vllxeAZgCHczN5bsbL/HX9fPD5atbx4bATYMv4eK7o&#10;NIRJoy9naLeBRx+1BWsc4PvGmG21eLZ6Q0QGASsB14xlX3HB9KfB7WbVb15icOe+AGQX5jFj5Wze&#10;X/4ZX2XuB28tEx5Y83ViY3ly8Pncft7vAqcx7sRavqxe7n0bTpr4wshe7+81AgaxTl8ygyfmv87y&#10;3Ozaf2DsBJgYF8uV7fszafglDOk5lKS4+MCjsrFqgf8ElugagMcmIjdgrczD4588xSMrZ4ILru7Q&#10;l7vHTWb5jjV88OMMvs/JsJbsDsXfT+CCVp156LzbGNZjSOC9/wNuN8YcqsUzqGPQxBdmIpIATAHu&#10;w+71PZSZyt9mvsIzm74Dj6/mbX/+J8G6yI0xnNusI9edchGjew0LnAXi2A3Mw/pwbzTGZNXymU8Y&#10;ImKwZuSMz8jN5Nx/TmZ5XqbVQeED3G5rWAr8vLZ+rIHpx3wy7PXz4nlg0HnccvYNNE70D0jOBB4B&#10;/qltteGjie84EZHTgX8A/ka5mSvn8Je5r7EgK712vYD+J8E/CHpgUiPO7nwKlww9jwFdB9HA/bMH&#10;3461k9cUY0x2LZ856olIZ6xhLAnfrl3AaR/bQ/acT0h1OymOdbz997myfV/uPet3nNx1QOC9s7D2&#10;u91SwZkqhDTxHUf2GLGHsDo+GoC1NNHrc9/hqTVfkVVaYiW/UPxV7Mvg+Fg3pzVpx4T+Z3Fa7+H0&#10;bN/96CP/ZIx5NATPGNVE5BKsy0te/upVblvwQe1r4oHsv8ewJs24a9Q1TBh+IQnlYwQPA3/GquVp&#10;B8ZxoImvDthbTb5AwMDXH3eu5/lv/sPbu1dZDeYVfeiqW+twzrHXnemSkEC/xu24/+xbGdnTPyJj&#10;sjHm39V9DScaEfkHcGthaRmXv3IzXx7cFprEF3BZe1ff07nlrOtp3aRl4BGfAvcZY3ZW/AAqHDTx&#10;1RF7Z61bsOZ2NgervXz26rk8N//ffJNxwDqwNr2/R/MCLsOSSc8xrMfJYC1P3scYkxPCZ4k6ItIc&#10;a3Bwy9U71jHqrTso8vlq9+nwt7u6ubnzUH572iQG2T3Dtq1YzQyf1uJZVA2FsjKvqsGeWP6siHwG&#10;PAFc6jK4zzn5DEb3HcHHCz/jP8unsjA7w/oAhigBTmjRnqHd/BXNFfU96dkGY6+uvX7PTxR5a5H0&#10;nITnNlzdsS+3jL2Gkb2HBR6RhdXD/jddUaXuaOKrY8aY7cAV9orQfwFOTo5P5PrTr2bC0HP5cOFU&#10;3lrzJStys2ufAH3Qt1W3wMG439Yu+hPGMACvz8einWuspoEaLiyLGy5q14NbfnkVpw8Yi6s8gZZh&#10;rfT9qP03V3VIL3UjiD3x/SqsDpAuTnlqdjofL/qMd9fOZFmuPQKluglQAONi/hVPMLbvCLCGTfSp&#10;75tM200Oy4C+2w7soNcrk/F6fcH3sPsvaV1c3qYnN4z+FaP6nkpizBGZcw7WdgJLQxu9qilNfBFI&#10;RJoB1wF3A+2d8vScDKYu/YL31sxgQc7h6g2i9cK45q35/I53SIiNB5hjjDmrqtNOdPZ2AisBdqft&#10;4+b3HmRm6h7r91pZ8vMPHo/jqvb9mTTqUkb1HhFYwwNYhLXs/GwdkxdZNPFFMBFpDdyA1QmS4pTn&#10;FOYzY+VsPlw5na8y9+It81U9DrAM7uo9kuevfdIp+aMx5rGwBR8lRCQF65K/G0BOYR7Pz3iZx36c&#10;feyphQL9EhpyzklDuXLEJZzctd/RRyzGWi9vlg5PiUya+KKAvQfwNcDNQCenvMwHyzcv479LpjFr&#10;72p2FhdZdxw9FlAADFMvfICLhp0N1tJKg3UOr8VOfq8C5ztlny3+nD/Me42N+flHtvd54TedBvHY&#10;RffRoWUKR97Dd1gLCnyrCS+yaeKLIiLSArgYuIuAGSAAWw9sZ87ab5m2bjbzctPLa4EGEBjRqCmz&#10;73qP5PhEgIXGmNE/e4J6zN51727gMey9Mjbt386UqU8x7cCW8iYFj+HV06/nt2de45yahdWG96wx&#10;ZnkdhK5qoLaTpNRxZIw5bIx5DRgKjMe6RCsG6N6uK7eccwPT7nqXBVc9xT39zmBIkr2AZSn0b97Z&#10;SXpgbZ6jAhhjPMaYZ7BqfdsAeqV05d3fvciTwyaCy23V6UTYcnBz4Kn/NcZcrklPqeNIRPqJyN9F&#10;ZLccJTX7sMxaNVeufuUeeWf+R05xiYgMqfqR6y8RaSEi7wf+LmesmC1Dnhwv/N8YOeOZy6WwrMS5&#10;66u6jlepektEWonI5SLyvYjkHZ0EA6wSEa3pV0FEjIjcJCI5zi9uV9p+ueaVu4UpY2XOj985xRl2&#10;J5RSqi6JSE8RuU9E1ohI8VGJ7191HV80EZFhIrLW+eUVe0rl8U+flT//79nA32m1NhtXSoWRiMSI&#10;SH8RechOgkvF2hdEVYOINBaRVwIzXVpWeuCP06t+FKXUcScisWLNDFE1JCLXiMjhCpoP9om1obhS&#10;Sp14xOpMWlJB8ru2rmNTSqmwEZFEEXlaRDwBie+juo5LKaXCTkQuEZEDduJ7vK7jUUqp40JE2onI&#10;ULH25FVKKaWUUkoppZRSSimllFJKKaWUUkoppZRSSimllFJKKaWUUkoppZRSSimllFJKKaWUUkop&#10;pZRSSimllFJKKaWUUkoppZRSSlXt/wHopHuSFxThgAAAAABJRU5ErkJgglBLAwQUAAYACAAAACEA&#10;K6AoeN0AAAAFAQAADwAAAGRycy9kb3ducmV2LnhtbEyPQWvCQBCF74X+h2UKvdVNjEqbZiMiticR&#10;qoXS25gdk2B2NmTXJP77bnuxl4HHe7z3TbYcTSN66lxtWUE8iUAQF1bXXCr4PLw9PYNwHlljY5kU&#10;XMnBMr+/yzDVduAP6ve+FKGEXYoKKu/bVEpXVGTQTWxLHLyT7Qz6ILtS6g6HUG4aOY2ihTRYc1io&#10;sKV1RcV5fzEK3gccVkm86bfn0/r6fZjvvrYxKfX4MK5eQXga/S0Mv/gBHfLAdLQX1k40CsIj/u8G&#10;bzZfzEAcFSQvSQQyz+R/+vwH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BAi0AFAAGAAgAAAAhALGC&#10;Z7YKAQAAEwIAABMAAAAAAAAAAAAAAAAAAAAAAFtDb250ZW50X1R5cGVzXS54bWxQSwECLQAUAAYA&#10;CAAAACEAOP0h/9YAAACUAQAACwAAAAAAAAAAAAAAAAA7AQAAX3JlbHMvLnJlbHNQSwECLQAUAAYA&#10;CAAAACEAYdXaVG4DAABwDQAADgAAAAAAAAAAAAAAAAA6AgAAZHJzL2Uyb0RvYy54bWxQSwECLQAK&#10;AAAAAAAAACEAAJxCDnkwAAB5MAAAFAAAAAAAAAAAAAAAAADUBQAAZHJzL21lZGlhL2ltYWdlMS5w&#10;bmdQSwECLQAUAAYACAAAACEAK6AoeN0AAAAFAQAADwAAAAAAAAAAAAAAAAB/NgAAZHJzL2Rvd25y&#10;ZXYueG1sUEsBAi0AFAAGAAgAAAAhAKomDr68AAAAIQEAABkAAAAAAAAAAAAAAAAAiTcAAGRycy9f&#10;cmVscy9lMm9Eb2MueG1sLnJlbHNQSwUGAAAAAAYABgB8AQAAfD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404" o:spid="_x0000_s1072" type="#_x0000_t75" style="position:absolute;width:28980;height:249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W9FxAAAANwAAAAPAAAAZHJzL2Rvd25yZXYueG1sRI/dSsNA&#10;FITvBd9hOYJ39kQNtqTdllIUW5BCfx7gkD1N1mbPhuzaxLfvFgQvh5n5hpktBteoC3fBetHwPMpA&#10;sZTeWKk0HA8fTxNQIZIYarywhl8OsJjf382oML6XHV/2sVIJIqEgDXWMbYEYypodhZFvWZJ38p2j&#10;mGRXoemoT3DX4EuWvaEjK2mhppZXNZfn/Y/TIJyLbb7tGM/9e//6+YXH7Qa1fnwYllNQkYf4H/5r&#10;r42GPMvhdiYdAZxfAQAA//8DAFBLAQItABQABgAIAAAAIQDb4fbL7gAAAIUBAAATAAAAAAAAAAAA&#10;AAAAAAAAAABbQ29udGVudF9UeXBlc10ueG1sUEsBAi0AFAAGAAgAAAAhAFr0LFu/AAAAFQEAAAsA&#10;AAAAAAAAAAAAAAAAHwEAAF9yZWxzLy5yZWxzUEsBAi0AFAAGAAgAAAAhAHjFb0XEAAAA3AAAAA8A&#10;AAAAAAAAAAAAAAAABwIAAGRycy9kb3ducmV2LnhtbFBLBQYAAAAAAwADALcAAAD4AgAAAAA=&#10;">
                  <v:imagedata r:id="rId10" o:title=""/>
                </v:shape>
                <v:shape id="Textbox 405" o:spid="_x0000_s1073" type="#_x0000_t202" style="position:absolute;left:4782;top:1889;width:6909;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1HzxQAAANwAAAAPAAAAZHJzL2Rvd25yZXYueG1sRI9BawIx&#10;FITvBf9DeIXealJppd0aRURBKEjX7aHH181zN7h5WTdR139vhILHYWa+YSaz3jXiRF2wnjW8DBUI&#10;4tIby5WGn2L1/A4iRGSDjWfScKEAs+ngYYKZ8WfO6bSNlUgQDhlqqGNsMylDWZPDMPQtcfJ2vnMY&#10;k+wqaTo8J7hr5EipsXRoOS3U2NKipnK/PToN81/Ol/aw+fvOd7ktig/FX+O91k+P/fwTRKQ+3sP/&#10;7bXR8Kre4HYmHQE5vQIAAP//AwBQSwECLQAUAAYACAAAACEA2+H2y+4AAACFAQAAEwAAAAAAAAAA&#10;AAAAAAAAAAAAW0NvbnRlbnRfVHlwZXNdLnhtbFBLAQItABQABgAIAAAAIQBa9CxbvwAAABUBAAAL&#10;AAAAAAAAAAAAAAAAAB8BAABfcmVscy8ucmVsc1BLAQItABQABgAIAAAAIQAcx1HzxQAAANwAAAAP&#10;AAAAAAAAAAAAAAAAAAcCAABkcnMvZG93bnJldi54bWxQSwUGAAAAAAMAAwC3AAAA+QIAAAAA&#10;" filled="f" stroked="f">
                  <v:textbox inset="0,0,0,0">
                    <w:txbxContent>
                      <w:p w14:paraId="6CDA8602" w14:textId="77777777" w:rsidR="002F0C66" w:rsidRDefault="002F0C66" w:rsidP="002F0C66">
                        <w:pPr>
                          <w:spacing w:line="237" w:lineRule="auto"/>
                          <w:ind w:left="112" w:right="129" w:hanging="1"/>
                          <w:jc w:val="center"/>
                          <w:rPr>
                            <w:rFonts w:ascii="Microsoft Sans Serif" w:hAnsi="Microsoft Sans Serif"/>
                            <w:sz w:val="16"/>
                          </w:rPr>
                        </w:pPr>
                        <w:r>
                          <w:rPr>
                            <w:rFonts w:ascii="Microsoft Sans Serif" w:hAnsi="Microsoft Sans Serif"/>
                            <w:spacing w:val="-2"/>
                            <w:sz w:val="16"/>
                          </w:rPr>
                          <w:t xml:space="preserve">управління </w:t>
                        </w:r>
                        <w:r>
                          <w:rPr>
                            <w:rFonts w:ascii="Microsoft Sans Serif" w:hAnsi="Microsoft Sans Serif"/>
                            <w:spacing w:val="-4"/>
                            <w:sz w:val="16"/>
                          </w:rPr>
                          <w:t>контрактом</w:t>
                        </w:r>
                      </w:p>
                      <w:p w14:paraId="1653E43A" w14:textId="77777777" w:rsidR="002F0C66" w:rsidRDefault="002F0C66" w:rsidP="002F0C66">
                        <w:pPr>
                          <w:ind w:right="18"/>
                          <w:jc w:val="center"/>
                          <w:rPr>
                            <w:rFonts w:ascii="Microsoft Sans Serif" w:hAnsi="Microsoft Sans Serif"/>
                            <w:sz w:val="16"/>
                          </w:rPr>
                        </w:pPr>
                        <w:r>
                          <w:rPr>
                            <w:rFonts w:ascii="Microsoft Sans Serif" w:hAnsi="Microsoft Sans Serif"/>
                            <w:sz w:val="16"/>
                          </w:rPr>
                          <w:t>та</w:t>
                        </w:r>
                        <w:r>
                          <w:rPr>
                            <w:rFonts w:ascii="Microsoft Sans Serif" w:hAnsi="Microsoft Sans Serif"/>
                            <w:spacing w:val="-1"/>
                            <w:sz w:val="16"/>
                          </w:rPr>
                          <w:t xml:space="preserve"> </w:t>
                        </w:r>
                        <w:r>
                          <w:rPr>
                            <w:rFonts w:ascii="Microsoft Sans Serif" w:hAnsi="Microsoft Sans Serif"/>
                            <w:spacing w:val="-2"/>
                            <w:sz w:val="16"/>
                          </w:rPr>
                          <w:t>утилізацією</w:t>
                        </w:r>
                      </w:p>
                    </w:txbxContent>
                  </v:textbox>
                </v:shape>
                <v:shape id="Textbox 406" o:spid="_x0000_s1074" type="#_x0000_t202" style="position:absolute;left:17977;top:1889;width:7303;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c+ExQAAANwAAAAPAAAAZHJzL2Rvd25yZXYueG1sRI9BawIx&#10;FITvhf6H8ITeamIpi12NIqUFoSCu20OPz81zN7h52W6ibv+9EYQeh5n5hpkvB9eKM/XBetYwGSsQ&#10;xJU3lmsN3+Xn8xREiMgGW8+k4Y8CLBePD3PMjb9wQeddrEWCcMhRQxNjl0sZqoYchrHviJN38L3D&#10;mGRfS9PjJcFdK1+UyqRDy2mhwY7eG6qOu5PTsPrh4sP+bvbb4lDYsnxT/JUdtX4aDasZiEhD/A/f&#10;22uj4VVlcDuTjoBcXAEAAP//AwBQSwECLQAUAAYACAAAACEA2+H2y+4AAACFAQAAEwAAAAAAAAAA&#10;AAAAAAAAAAAAW0NvbnRlbnRfVHlwZXNdLnhtbFBLAQItABQABgAIAAAAIQBa9CxbvwAAABUBAAAL&#10;AAAAAAAAAAAAAAAAAB8BAABfcmVscy8ucmVsc1BLAQItABQABgAIAAAAIQDsFc+ExQAAANwAAAAP&#10;AAAAAAAAAAAAAAAAAAcCAABkcnMvZG93bnJldi54bWxQSwUGAAAAAAMAAwC3AAAA+QIAAAAA&#10;" filled="f" stroked="f">
                  <v:textbox inset="0,0,0,0">
                    <w:txbxContent>
                      <w:p w14:paraId="2B675552" w14:textId="77777777" w:rsidR="002F0C66" w:rsidRDefault="002F0C66" w:rsidP="002F0C66">
                        <w:pPr>
                          <w:spacing w:line="237" w:lineRule="auto"/>
                          <w:ind w:left="82" w:right="100"/>
                          <w:jc w:val="center"/>
                          <w:rPr>
                            <w:rFonts w:ascii="Microsoft Sans Serif" w:hAnsi="Microsoft Sans Serif"/>
                            <w:sz w:val="16"/>
                          </w:rPr>
                        </w:pPr>
                        <w:r>
                          <w:rPr>
                            <w:rFonts w:ascii="Microsoft Sans Serif" w:hAnsi="Microsoft Sans Serif"/>
                            <w:spacing w:val="-2"/>
                            <w:sz w:val="16"/>
                          </w:rPr>
                          <w:t xml:space="preserve">оцінювання </w:t>
                        </w:r>
                        <w:r>
                          <w:rPr>
                            <w:rFonts w:ascii="Microsoft Sans Serif" w:hAnsi="Microsoft Sans Serif"/>
                            <w:sz w:val="16"/>
                          </w:rPr>
                          <w:t>та вибір</w:t>
                        </w:r>
                      </w:p>
                      <w:p w14:paraId="3640F2DF" w14:textId="77777777" w:rsidR="002F0C66" w:rsidRDefault="002F0C66" w:rsidP="002F0C66">
                        <w:pPr>
                          <w:ind w:right="18"/>
                          <w:jc w:val="center"/>
                          <w:rPr>
                            <w:rFonts w:ascii="Microsoft Sans Serif" w:hAnsi="Microsoft Sans Serif"/>
                            <w:sz w:val="16"/>
                          </w:rPr>
                        </w:pPr>
                        <w:r>
                          <w:rPr>
                            <w:rFonts w:ascii="Microsoft Sans Serif" w:hAnsi="Microsoft Sans Serif"/>
                            <w:spacing w:val="-2"/>
                            <w:sz w:val="16"/>
                          </w:rPr>
                          <w:t>постачальників</w:t>
                        </w:r>
                      </w:p>
                    </w:txbxContent>
                  </v:textbox>
                </v:shape>
                <v:shape id="Textbox 407" o:spid="_x0000_s1075" type="#_x0000_t202" style="position:absolute;left:1290;top:12975;width:7131;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WofxQAAANwAAAAPAAAAZHJzL2Rvd25yZXYueG1sRI9BawIx&#10;FITvBf9DeIXealIptt0aRURBEKTr9tDj6+a5G9y8rJuo6783hYLHYWa+YSaz3jXiTF2wnjW8DBUI&#10;4tIby5WG72L1/A4iRGSDjWfScKUAs+ngYYKZ8RfO6byLlUgQDhlqqGNsMylDWZPDMPQtcfL2vnMY&#10;k+wqaTq8JLhr5EipsXRoOS3U2NKipvKwOzkN8x/Ol/a4/f3K97ktig/Fm/FB66fHfv4JIlIf7+H/&#10;9tpoeFVv8HcmHQE5vQEAAP//AwBQSwECLQAUAAYACAAAACEA2+H2y+4AAACFAQAAEwAAAAAAAAAA&#10;AAAAAAAAAAAAW0NvbnRlbnRfVHlwZXNdLnhtbFBLAQItABQABgAIAAAAIQBa9CxbvwAAABUBAAAL&#10;AAAAAAAAAAAAAAAAAB8BAABfcmVscy8ucmVsc1BLAQItABQABgAIAAAAIQCDWWofxQAAANwAAAAP&#10;AAAAAAAAAAAAAAAAAAcCAABkcnMvZG93bnJldi54bWxQSwUGAAAAAAMAAwC3AAAA+QIAAAAA&#10;" filled="f" stroked="f">
                  <v:textbox inset="0,0,0,0">
                    <w:txbxContent>
                      <w:p w14:paraId="74B224CF" w14:textId="77777777" w:rsidR="002F0C66" w:rsidRDefault="002F0C66" w:rsidP="002F0C66">
                        <w:pPr>
                          <w:spacing w:line="237" w:lineRule="auto"/>
                          <w:ind w:right="18" w:hanging="1"/>
                          <w:jc w:val="center"/>
                          <w:rPr>
                            <w:rFonts w:ascii="Microsoft Sans Serif" w:hAnsi="Microsoft Sans Serif"/>
                            <w:sz w:val="16"/>
                          </w:rPr>
                        </w:pPr>
                        <w:r>
                          <w:rPr>
                            <w:rFonts w:ascii="Microsoft Sans Serif" w:hAnsi="Microsoft Sans Serif"/>
                            <w:sz w:val="16"/>
                          </w:rPr>
                          <w:t xml:space="preserve">аудит та вибір </w:t>
                        </w:r>
                        <w:r>
                          <w:rPr>
                            <w:rFonts w:ascii="Microsoft Sans Serif" w:hAnsi="Microsoft Sans Serif"/>
                            <w:spacing w:val="-2"/>
                            <w:sz w:val="16"/>
                          </w:rPr>
                          <w:t>найкращого постачальника</w:t>
                        </w:r>
                      </w:p>
                    </w:txbxContent>
                  </v:textbox>
                </v:shape>
                <v:shape id="Textbox 408" o:spid="_x0000_s1076" type="#_x0000_t202" style="position:absolute;left:20278;top:12296;width:7963;height:45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v5twQAAANwAAAAPAAAAZHJzL2Rvd25yZXYueG1sRE/Pa8Iw&#10;FL4P/B/CE3abiWPIrEYR2UAYiLUePD6bZxtsXromavffm4Ow48f3e77sXSNu1AXrWcN4pEAQl95Y&#10;rjQciu+3TxAhIhtsPJOGPwqwXAxe5pgZf+ecbvtYiRTCIUMNdYxtJmUoa3IYRr4lTtzZdw5jgl0l&#10;TYf3FO4a+a7URDq0nBpqbGldU3nZX52G1ZHzL/u7Pe3yc26LYqr4Z3LR+nXYr2YgIvXxX/x0b4yG&#10;D5XWpjPpCMjFAwAA//8DAFBLAQItABQABgAIAAAAIQDb4fbL7gAAAIUBAAATAAAAAAAAAAAAAAAA&#10;AAAAAABbQ29udGVudF9UeXBlc10ueG1sUEsBAi0AFAAGAAgAAAAhAFr0LFu/AAAAFQEAAAsAAAAA&#10;AAAAAAAAAAAAHwEAAF9yZWxzLy5yZWxzUEsBAi0AFAAGAAgAAAAhAPLG/m3BAAAA3AAAAA8AAAAA&#10;AAAAAAAAAAAABwIAAGRycy9kb3ducmV2LnhtbFBLBQYAAAAAAwADALcAAAD1AgAAAAA=&#10;" filled="f" stroked="f">
                  <v:textbox inset="0,0,0,0">
                    <w:txbxContent>
                      <w:p w14:paraId="713B0432" w14:textId="77777777" w:rsidR="002F0C66" w:rsidRDefault="002F0C66" w:rsidP="002F0C66">
                        <w:pPr>
                          <w:spacing w:line="237" w:lineRule="auto"/>
                          <w:ind w:left="147" w:right="165" w:hanging="1"/>
                          <w:jc w:val="center"/>
                          <w:rPr>
                            <w:rFonts w:ascii="Microsoft Sans Serif" w:hAnsi="Microsoft Sans Serif"/>
                            <w:sz w:val="16"/>
                          </w:rPr>
                        </w:pPr>
                        <w:r>
                          <w:rPr>
                            <w:rFonts w:ascii="Microsoft Sans Serif" w:hAnsi="Microsoft Sans Serif"/>
                            <w:spacing w:val="-2"/>
                            <w:sz w:val="16"/>
                          </w:rPr>
                          <w:t>визначення специфікації</w:t>
                        </w:r>
                      </w:p>
                      <w:p w14:paraId="001CDAB1" w14:textId="77777777" w:rsidR="002F0C66" w:rsidRDefault="002F0C66" w:rsidP="002F0C66">
                        <w:pPr>
                          <w:ind w:left="-1" w:right="18"/>
                          <w:jc w:val="center"/>
                          <w:rPr>
                            <w:rFonts w:ascii="Microsoft Sans Serif" w:hAnsi="Microsoft Sans Serif"/>
                            <w:sz w:val="16"/>
                          </w:rPr>
                        </w:pPr>
                        <w:r>
                          <w:rPr>
                            <w:rFonts w:ascii="Microsoft Sans Serif" w:hAnsi="Microsoft Sans Serif"/>
                            <w:spacing w:val="-2"/>
                            <w:sz w:val="16"/>
                          </w:rPr>
                          <w:t>та</w:t>
                        </w:r>
                        <w:r>
                          <w:rPr>
                            <w:rFonts w:ascii="Microsoft Sans Serif" w:hAnsi="Microsoft Sans Serif"/>
                            <w:spacing w:val="-9"/>
                            <w:sz w:val="16"/>
                          </w:rPr>
                          <w:t xml:space="preserve"> </w:t>
                        </w:r>
                        <w:r>
                          <w:rPr>
                            <w:rFonts w:ascii="Microsoft Sans Serif" w:hAnsi="Microsoft Sans Serif"/>
                            <w:spacing w:val="-2"/>
                            <w:sz w:val="16"/>
                          </w:rPr>
                          <w:t>встановлення ставок</w:t>
                        </w:r>
                      </w:p>
                    </w:txbxContent>
                  </v:textbox>
                </v:shape>
                <v:shape id="Textbox 409" o:spid="_x0000_s1077" type="#_x0000_t202" style="position:absolute;left:11291;top:20605;width:6280;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lv2xQAAANwAAAAPAAAAZHJzL2Rvd25yZXYueG1sRI9BawIx&#10;FITvBf9DeAVvNWkRqVujiFgQCsV1PXh83Tx3g5uXdRN1++8boeBxmJlvmNmid424UhesZw2vIwWC&#10;uPTGcqVhX3y+vIMIEdlg45k0/FKAxXzwNMPM+BvndN3FSiQIhww11DG2mZShrMlhGPmWOHlH3zmM&#10;SXaVNB3eEtw18k2piXRoOS3U2NKqpvK0uzgNywPna3v+/tnmx9wWxVTx1+Sk9fC5X36AiNTHR/i/&#10;vTEaxmoK9zPpCMj5HwAAAP//AwBQSwECLQAUAAYACAAAACEA2+H2y+4AAACFAQAAEwAAAAAAAAAA&#10;AAAAAAAAAAAAW0NvbnRlbnRfVHlwZXNdLnhtbFBLAQItABQABgAIAAAAIQBa9CxbvwAAABUBAAAL&#10;AAAAAAAAAAAAAAAAAB8BAABfcmVscy8ucmVsc1BLAQItABQABgAIAAAAIQCdilv2xQAAANwAAAAP&#10;AAAAAAAAAAAAAAAAAAcCAABkcnMvZG93bnJldi54bWxQSwUGAAAAAAMAAwC3AAAA+QIAAAAA&#10;" filled="f" stroked="f">
                  <v:textbox inset="0,0,0,0">
                    <w:txbxContent>
                      <w:p w14:paraId="6DFE7AC2" w14:textId="77777777" w:rsidR="002F0C66" w:rsidRDefault="002F0C66" w:rsidP="002F0C66">
                        <w:pPr>
                          <w:spacing w:line="237" w:lineRule="auto"/>
                          <w:ind w:right="18" w:firstLine="54"/>
                          <w:jc w:val="both"/>
                          <w:rPr>
                            <w:rFonts w:ascii="Microsoft Sans Serif" w:hAnsi="Microsoft Sans Serif"/>
                            <w:sz w:val="16"/>
                          </w:rPr>
                        </w:pPr>
                        <w:r>
                          <w:rPr>
                            <w:rFonts w:ascii="Microsoft Sans Serif" w:hAnsi="Microsoft Sans Serif"/>
                            <w:spacing w:val="-2"/>
                            <w:sz w:val="16"/>
                          </w:rPr>
                          <w:t>оцінювання пропозицій</w:t>
                        </w:r>
                        <w:r>
                          <w:rPr>
                            <w:rFonts w:ascii="Microsoft Sans Serif" w:hAnsi="Microsoft Sans Serif"/>
                            <w:sz w:val="16"/>
                          </w:rPr>
                          <w:t xml:space="preserve"> </w:t>
                        </w:r>
                        <w:r>
                          <w:rPr>
                            <w:rFonts w:ascii="Microsoft Sans Serif" w:hAnsi="Microsoft Sans Serif"/>
                            <w:spacing w:val="-2"/>
                            <w:sz w:val="16"/>
                          </w:rPr>
                          <w:t>та</w:t>
                        </w:r>
                        <w:r>
                          <w:rPr>
                            <w:rFonts w:ascii="Microsoft Sans Serif" w:hAnsi="Microsoft Sans Serif"/>
                            <w:spacing w:val="-9"/>
                            <w:sz w:val="16"/>
                          </w:rPr>
                          <w:t xml:space="preserve"> </w:t>
                        </w:r>
                        <w:r>
                          <w:rPr>
                            <w:rFonts w:ascii="Microsoft Sans Serif" w:hAnsi="Microsoft Sans Serif"/>
                            <w:spacing w:val="-2"/>
                            <w:sz w:val="16"/>
                          </w:rPr>
                          <w:t>винагород</w:t>
                        </w:r>
                      </w:p>
                    </w:txbxContent>
                  </v:textbox>
                </v:shape>
                <w10:anchorlock/>
              </v:group>
            </w:pict>
          </mc:Fallback>
        </mc:AlternateContent>
      </w:r>
    </w:p>
    <w:p w14:paraId="44CF2DA3" w14:textId="205ED30C" w:rsidR="002F0C66" w:rsidRPr="00582C11" w:rsidRDefault="002F0C66" w:rsidP="002F0C66">
      <w:pPr>
        <w:adjustRightInd w:val="0"/>
        <w:snapToGrid w:val="0"/>
        <w:spacing w:after="0" w:line="240" w:lineRule="auto"/>
        <w:ind w:firstLine="567"/>
        <w:jc w:val="both"/>
        <w:rPr>
          <w:rFonts w:ascii="Times New Roman" w:hAnsi="Times New Roman" w:cs="Times New Roman"/>
          <w:bCs/>
          <w:sz w:val="20"/>
          <w:szCs w:val="20"/>
        </w:rPr>
      </w:pPr>
      <w:r w:rsidRPr="00582C11">
        <w:rPr>
          <w:rFonts w:ascii="Times New Roman" w:hAnsi="Times New Roman" w:cs="Times New Roman"/>
          <w:bCs/>
          <w:sz w:val="20"/>
          <w:szCs w:val="20"/>
        </w:rPr>
        <w:t xml:space="preserve">Рис. </w:t>
      </w:r>
      <w:r w:rsidR="00582C11" w:rsidRPr="00582C11">
        <w:rPr>
          <w:rFonts w:ascii="Times New Roman" w:hAnsi="Times New Roman" w:cs="Times New Roman"/>
          <w:bCs/>
          <w:sz w:val="20"/>
          <w:szCs w:val="20"/>
        </w:rPr>
        <w:t>2</w:t>
      </w:r>
      <w:r w:rsidRPr="00582C11">
        <w:rPr>
          <w:rFonts w:ascii="Times New Roman" w:hAnsi="Times New Roman" w:cs="Times New Roman"/>
          <w:bCs/>
          <w:sz w:val="20"/>
          <w:szCs w:val="20"/>
        </w:rPr>
        <w:t>.1. Виявлення необхідності та оцінювання ризиків «зелених» (сталих) закупівель</w:t>
      </w:r>
    </w:p>
    <w:p w14:paraId="5B16945D" w14:textId="77777777" w:rsidR="002F0C66" w:rsidRPr="00732FA2" w:rsidRDefault="002F0C66" w:rsidP="002F0C66">
      <w:pPr>
        <w:adjustRightInd w:val="0"/>
        <w:snapToGrid w:val="0"/>
        <w:spacing w:after="0" w:line="240" w:lineRule="auto"/>
        <w:ind w:firstLine="567"/>
        <w:jc w:val="both"/>
        <w:rPr>
          <w:rFonts w:ascii="Times New Roman" w:hAnsi="Times New Roman" w:cs="Times New Roman"/>
          <w:b/>
          <w:sz w:val="20"/>
          <w:szCs w:val="20"/>
        </w:rPr>
      </w:pPr>
    </w:p>
    <w:p w14:paraId="0C469EF0"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«зеленої» економіки. Ініціатива державних органів щодо заохочення «зелених» закупівель є основою для поширення цих зобов’язань на місцеві органи влади та приватний сектор, що також сприяє змінам попиту в країні в цілому.</w:t>
      </w:r>
    </w:p>
    <w:p w14:paraId="5BB26C3E" w14:textId="5FEB697A" w:rsidR="002F0C66" w:rsidRPr="00CC4B72" w:rsidRDefault="002F0C66" w:rsidP="006A3179">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ЗДЗ мають значний вплив на розвиток ринку екологічно пріоритетної, або</w:t>
      </w:r>
      <w:r w:rsidR="006A3179">
        <w:rPr>
          <w:rFonts w:ascii="Times New Roman" w:hAnsi="Times New Roman" w:cs="Times New Roman"/>
          <w:sz w:val="20"/>
          <w:szCs w:val="20"/>
        </w:rPr>
        <w:t xml:space="preserve"> </w:t>
      </w:r>
      <w:r w:rsidRPr="00CC4B72">
        <w:rPr>
          <w:rFonts w:ascii="Times New Roman" w:hAnsi="Times New Roman" w:cs="Times New Roman"/>
          <w:sz w:val="20"/>
          <w:szCs w:val="20"/>
        </w:rPr>
        <w:t>«зеленої» продукції, оскільки держава є одним з основних споживачів товарів і послуг і потенційно може виділити від 5% до 20% від ВВП на забезпечення таких закупівель. У деяких країнах, наприклад Данія і Швеція, щорічний рівень ЗДЗ досягає 40% від загальних бюджетних витрат, у Японії – 90 %.</w:t>
      </w:r>
    </w:p>
    <w:p w14:paraId="66EF5E90" w14:textId="6AE43A4E" w:rsidR="002F0C66" w:rsidRPr="00CC4B72" w:rsidRDefault="00984ECA" w:rsidP="002F0C66">
      <w:pPr>
        <w:adjustRightInd w:val="0"/>
        <w:snapToGrid w:val="0"/>
        <w:spacing w:after="0" w:line="240" w:lineRule="auto"/>
        <w:ind w:firstLine="567"/>
        <w:jc w:val="both"/>
        <w:rPr>
          <w:rFonts w:ascii="Times New Roman" w:hAnsi="Times New Roman" w:cs="Times New Roman"/>
          <w:sz w:val="20"/>
          <w:szCs w:val="20"/>
        </w:rPr>
      </w:pPr>
      <w:r>
        <w:rPr>
          <w:rFonts w:ascii="Times New Roman" w:hAnsi="Times New Roman" w:cs="Times New Roman"/>
          <w:b/>
          <w:sz w:val="20"/>
          <w:szCs w:val="20"/>
        </w:rPr>
        <w:t>Н</w:t>
      </w:r>
      <w:r w:rsidR="002F0C66" w:rsidRPr="00CC4B72">
        <w:rPr>
          <w:rFonts w:ascii="Times New Roman" w:hAnsi="Times New Roman" w:cs="Times New Roman"/>
          <w:b/>
          <w:sz w:val="20"/>
          <w:szCs w:val="20"/>
        </w:rPr>
        <w:t xml:space="preserve">ормативно-правове забезпечення «зелених» закупівель. </w:t>
      </w:r>
      <w:r w:rsidR="002F0C66" w:rsidRPr="00CC4B72">
        <w:rPr>
          <w:rFonts w:ascii="Times New Roman" w:hAnsi="Times New Roman" w:cs="Times New Roman"/>
          <w:sz w:val="20"/>
          <w:szCs w:val="20"/>
        </w:rPr>
        <w:t>Для просування ЗДЗ необхідне відповідне нормативно-правове</w:t>
      </w:r>
      <w:r w:rsidR="002F0C66">
        <w:rPr>
          <w:rFonts w:ascii="Times New Roman" w:hAnsi="Times New Roman" w:cs="Times New Roman"/>
          <w:sz w:val="20"/>
          <w:szCs w:val="20"/>
        </w:rPr>
        <w:t xml:space="preserve"> </w:t>
      </w:r>
      <w:r w:rsidR="002F0C66" w:rsidRPr="00CC4B72">
        <w:rPr>
          <w:rFonts w:ascii="Times New Roman" w:hAnsi="Times New Roman" w:cs="Times New Roman"/>
          <w:sz w:val="20"/>
          <w:szCs w:val="20"/>
        </w:rPr>
        <w:t>забезпечення, методична та інформаційна підтримка для забезпечення комунікацій, затверджені процедури (правила, стандарти) для розроблення та затвердження екологічних кваліфікаційних вимог на окремо взяту категорію продукції.</w:t>
      </w:r>
    </w:p>
    <w:p w14:paraId="080BA491"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Нормативно-правове забезпечення має закріпити на законодавчому рівні:</w:t>
      </w:r>
    </w:p>
    <w:p w14:paraId="41B4F185" w14:textId="77777777" w:rsidR="002F0C66" w:rsidRPr="00CC4B72" w:rsidRDefault="002F0C66" w:rsidP="002F0C66">
      <w:pPr>
        <w:numPr>
          <w:ilvl w:val="1"/>
          <w:numId w:val="24"/>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визначення поняття «зелені» закупівлі й «екологічні кваліфікаційні вимоги», а також вимоги та рекомендації щодо їх здійснення / застосування;</w:t>
      </w:r>
    </w:p>
    <w:p w14:paraId="55A2408D" w14:textId="77777777" w:rsidR="002F0C66" w:rsidRPr="00CC4B72" w:rsidRDefault="002F0C66" w:rsidP="002F0C66">
      <w:pPr>
        <w:numPr>
          <w:ilvl w:val="1"/>
          <w:numId w:val="24"/>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lastRenderedPageBreak/>
        <w:t>порядок визначення та застосування додаткових екологічних кваліфікаційних вимог до продукції, що купується. Цей документ повинен містити конкретні посилання на можливість включення екологічних вимог у категорію кваліфікаційних вимог для державних закупівель, вибір критеріїв та / або можливість використовувати екологічні критерії для екологічних маркувань та / або декларацій.</w:t>
      </w:r>
    </w:p>
    <w:p w14:paraId="4C9334C4" w14:textId="77777777" w:rsidR="002F0C66" w:rsidRPr="00CC4B72" w:rsidRDefault="002F0C66" w:rsidP="002F0C66">
      <w:pPr>
        <w:numPr>
          <w:ilvl w:val="1"/>
          <w:numId w:val="24"/>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координацію процедур (комунікації) та моніторинг «зелених» державних закупівель;</w:t>
      </w:r>
    </w:p>
    <w:p w14:paraId="465C3159" w14:textId="77777777" w:rsidR="002F0C66" w:rsidRPr="00CC4B72" w:rsidRDefault="002F0C66" w:rsidP="002F0C66">
      <w:pPr>
        <w:numPr>
          <w:ilvl w:val="1"/>
          <w:numId w:val="24"/>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відповідальність постачальника за неправдиву інформацію щодо задекларованих екологічних характеристик продукції.</w:t>
      </w:r>
    </w:p>
    <w:p w14:paraId="59DDFD9F"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Як правило, нормативно-правове забезпечення досягається шляхом внесення необхідних доповнень до законів, що визначають політичний курс держави щодо сталого розвитку (соціально-економічного розвитку або екологічної політики), а також до бюджетного кодексу й порядку проведення закупівель за бюджетні кошти. Також розробляється ряд підзаконних нормативно-правових актів, які включають інформаційно-методичне забезпечення та процедури розроблення й затвердження екологічних кваліфікаційних вимог, координацію (комунікації) та моніторинг ЗДЗ.</w:t>
      </w:r>
    </w:p>
    <w:p w14:paraId="345791E2"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 xml:space="preserve">На відміну від більшості європейських країн, Японії, Республіки Корея, Тайваню та інших держав, які мають уже стійку практику здійснення ЗДЗ у законодавчо-регульованій сфері, Україна робить лише перші кроки з їх розвитку. Перш за все, мова йде про сформоване підґрунтя розвитку «органічного ринку», що сприяє інтеграції малих та середніх підприємств України в міжнародну торгівлю </w:t>
      </w:r>
      <w:r w:rsidRPr="00CC4B72">
        <w:rPr>
          <w:rFonts w:ascii="Times New Roman" w:hAnsi="Times New Roman" w:cs="Times New Roman"/>
          <w:b/>
          <w:sz w:val="20"/>
          <w:szCs w:val="20"/>
        </w:rPr>
        <w:t>через просування на міжнародний рівень сертифікованої органічної продукції</w:t>
      </w:r>
      <w:r w:rsidRPr="00CC4B72">
        <w:rPr>
          <w:rFonts w:ascii="Times New Roman" w:hAnsi="Times New Roman" w:cs="Times New Roman"/>
          <w:sz w:val="20"/>
          <w:szCs w:val="20"/>
        </w:rPr>
        <w:t>.</w:t>
      </w:r>
    </w:p>
    <w:p w14:paraId="1E844BC4"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Закон «Про здійснення державних закупівель», що встановлює правові та економічні засади здійснення закупівель товарів, робіт і послуг за державні кошти, був прийнятий 1 червня 2010 року. Мета прийняття закону – створення конкурентного середовища у сфері державних закупівель, запобігання проявам корупції, розвиток добросовісної конкуренції, забезпечення раціонального та ефективного використання державних коштів</w:t>
      </w:r>
    </w:p>
    <w:p w14:paraId="545B6EAD"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З прийняттям Закону України «Про основні засади (стратегію) державної екологічної політики України на період до 2020 року» передбачається державна підтримка й методи стимулювання вітчизняних виробників, які проводять модернізацію виробництва, спрямовану на зменшення негативного впливу на навколишнє середовище.</w:t>
      </w:r>
    </w:p>
    <w:p w14:paraId="52B1BFD5"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Національний план дій з охорони навколишнього природного середовища України на період 2011-2015 рр., розроблений для реалізації положень цього</w:t>
      </w:r>
    </w:p>
    <w:p w14:paraId="0819382E"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b/>
          <w:sz w:val="20"/>
          <w:szCs w:val="20"/>
        </w:rPr>
      </w:pPr>
      <w:r w:rsidRPr="00CC4B72">
        <w:rPr>
          <w:rFonts w:ascii="Times New Roman" w:hAnsi="Times New Roman" w:cs="Times New Roman"/>
          <w:sz w:val="20"/>
          <w:szCs w:val="20"/>
        </w:rPr>
        <w:t xml:space="preserve">Закону, уже задекларував конкретні заходи щодо розвитку ЗДЗ та визначив відповідальних за виконання і джерела фінансування. </w:t>
      </w:r>
      <w:r w:rsidRPr="00CC4B72">
        <w:rPr>
          <w:rFonts w:ascii="Times New Roman" w:hAnsi="Times New Roman" w:cs="Times New Roman"/>
          <w:b/>
          <w:sz w:val="20"/>
          <w:szCs w:val="20"/>
        </w:rPr>
        <w:t xml:space="preserve">на сьогодні зУ «Про публічні закупівлі» №1078Vііі, прийнятий у 2016 р., та зУ «Про особливості закупівель в певних сферах господарської діяльності» № 4851 </w:t>
      </w:r>
      <w:r w:rsidRPr="00CC4B72">
        <w:rPr>
          <w:rFonts w:ascii="Times New Roman" w:hAnsi="Times New Roman" w:cs="Times New Roman"/>
          <w:b/>
          <w:sz w:val="20"/>
          <w:szCs w:val="20"/>
        </w:rPr>
        <w:lastRenderedPageBreak/>
        <w:t>від 24.05.2012 р. є основними правовими регламентами, що визначають правові засади здійснення закупівлі товарів, робіт та послуг для забезпечення потреб держави та територіальних громад. Проте закон прямої дії щодо стимулювання «зелених» державних закупівель в Україні до цього часу відсутній.</w:t>
      </w:r>
    </w:p>
    <w:p w14:paraId="4A8D0278"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Для здійснення ЗДЗ сфера технічного регулювання повинна забезпечити розроблення рекомендацій товаровиробникам щодо внесення екологічних вимог до стандартів для продукції (товари, вироби, процеси і послуги). Ці рекомендації можуть бути розроблені на основі міжнародного стандарту ISO Guide 64:1997 Guide for the inclusion of environmental aspects in product standards.</w:t>
      </w:r>
    </w:p>
    <w:p w14:paraId="1EA4938E"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В основу концепції ЗДЗ повинні бути покладені чіткі і науково обґрунтовані екологічні кваліфікаційні вимоги для продукції (товарів, виробів, процесів або послуг).</w:t>
      </w:r>
    </w:p>
    <w:p w14:paraId="2ABD7FE2"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При здійсненні «зелених» закупівель обов'язково має бути налагоджений повний облік витрат, тобто «вартість життєвого циклу» (далі – ВЖЦ), який враховуватиме всі витрати з виготовлення, введення в експлуатацію та забезпечення  експлуатації  продукту.</w:t>
      </w:r>
    </w:p>
    <w:p w14:paraId="42DFDE03"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«Зелені» закупівлі здатні давати реальний ефект – екологічний, соціальний та фінансовий. Закупівлі мають соціальні наслідки, так, вони можуть бути використані для стимулювання поліпшення соціальної сфери.</w:t>
      </w:r>
    </w:p>
    <w:p w14:paraId="2154FBEC"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Підсумовуючи</w:t>
      </w:r>
      <w:r>
        <w:rPr>
          <w:rFonts w:ascii="Times New Roman" w:hAnsi="Times New Roman" w:cs="Times New Roman"/>
          <w:sz w:val="20"/>
          <w:szCs w:val="20"/>
        </w:rPr>
        <w:t xml:space="preserve"> </w:t>
      </w:r>
      <w:r w:rsidRPr="00CC4B72">
        <w:rPr>
          <w:rFonts w:ascii="Times New Roman" w:hAnsi="Times New Roman" w:cs="Times New Roman"/>
          <w:sz w:val="20"/>
          <w:szCs w:val="20"/>
        </w:rPr>
        <w:t>вищезазначене, можна констатувати, що на державному рівні необхідне розроблення та впровадження програми щодо здійснення «зелених» закупівель, що має на  меті  залучення  інвесторів,  упровадження екологічного оснащення на виробництвах та розбудову екологічної інфраструктури.</w:t>
      </w:r>
    </w:p>
    <w:p w14:paraId="5451569D"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«Зелені» закупівлі можуть стати вагомим інструментом сприяння сталому економічному розвитку з одночасним досягненням соціальних цілей держави.</w:t>
      </w:r>
    </w:p>
    <w:p w14:paraId="4F74A29F" w14:textId="77777777" w:rsidR="002F0C66" w:rsidRPr="00CC4B72" w:rsidRDefault="002F0C66" w:rsidP="002F0C66">
      <w:pPr>
        <w:numPr>
          <w:ilvl w:val="0"/>
          <w:numId w:val="23"/>
        </w:numPr>
        <w:adjustRightInd w:val="0"/>
        <w:snapToGrid w:val="0"/>
        <w:spacing w:after="0" w:line="240" w:lineRule="auto"/>
        <w:ind w:left="0" w:firstLine="567"/>
        <w:jc w:val="both"/>
        <w:rPr>
          <w:rFonts w:ascii="Times New Roman" w:hAnsi="Times New Roman" w:cs="Times New Roman"/>
          <w:b/>
          <w:i/>
          <w:sz w:val="20"/>
          <w:szCs w:val="20"/>
        </w:rPr>
      </w:pPr>
      <w:r w:rsidRPr="00CC4B72">
        <w:rPr>
          <w:rFonts w:ascii="Times New Roman" w:hAnsi="Times New Roman" w:cs="Times New Roman"/>
          <w:b/>
          <w:sz w:val="20"/>
          <w:szCs w:val="20"/>
        </w:rPr>
        <w:t xml:space="preserve">Стратегічна екологічна оцінка документів державного планування. </w:t>
      </w:r>
      <w:r w:rsidRPr="00CC4B72">
        <w:rPr>
          <w:rFonts w:ascii="Times New Roman" w:hAnsi="Times New Roman" w:cs="Times New Roman"/>
          <w:sz w:val="20"/>
          <w:szCs w:val="20"/>
        </w:rPr>
        <w:t xml:space="preserve">Прийняття у другому читанні закону про стратегічну екологічну оцінку створило нові умови для застосування принципів «зеленої» економіки в територіальному та галузевому розвитку. На сьогодні всі документи державного планування, за винятком тих, що належать до сфери національної безпеки та фінансів, підлягають процедурі стратегічної екологічної оцінки. Це передбачає проведення постійних консультацій та громадських обговорень для попередження негативних наслідків для довкілля, населення та об’єктів економіки та систем життєзабезпечення. На часі вироблення розгорнутих рекомендацій з проведення стратегічної економічної оцінки (СЕО), які мають нормативний рівень затвердження, а також позанормативні настанови з організації проведення СЕО для проектів різних рівнів – від рівня об’єднаної громади до національного рівня реалізації. Тому на державному рівні доцільно </w:t>
      </w:r>
      <w:r w:rsidRPr="00CC4B72">
        <w:rPr>
          <w:rFonts w:ascii="Times New Roman" w:hAnsi="Times New Roman" w:cs="Times New Roman"/>
          <w:b/>
          <w:i/>
          <w:sz w:val="20"/>
          <w:szCs w:val="20"/>
        </w:rPr>
        <w:t xml:space="preserve">розробити та затвердити комплекс нормативно-методичних настанов </w:t>
      </w:r>
      <w:r w:rsidRPr="00CC4B72">
        <w:rPr>
          <w:rFonts w:ascii="Times New Roman" w:hAnsi="Times New Roman" w:cs="Times New Roman"/>
          <w:b/>
          <w:i/>
          <w:sz w:val="20"/>
          <w:szCs w:val="20"/>
        </w:rPr>
        <w:lastRenderedPageBreak/>
        <w:t>та рекомендацій з проведення СЕО та узгодження їх процедур з чинним національним законодавством; вимог до сертифікації організацій, яким буде надано право підготовки фахівціві з СЕО та розроблення настанов щодо змісту</w:t>
      </w:r>
      <w:r>
        <w:rPr>
          <w:rFonts w:ascii="Times New Roman" w:hAnsi="Times New Roman" w:cs="Times New Roman"/>
          <w:b/>
          <w:i/>
          <w:sz w:val="20"/>
          <w:szCs w:val="20"/>
        </w:rPr>
        <w:t xml:space="preserve"> </w:t>
      </w:r>
      <w:r w:rsidRPr="00CC4B72">
        <w:rPr>
          <w:rFonts w:ascii="Times New Roman" w:hAnsi="Times New Roman" w:cs="Times New Roman"/>
          <w:b/>
          <w:i/>
          <w:sz w:val="20"/>
          <w:szCs w:val="20"/>
        </w:rPr>
        <w:t>навчально-методичних документів з питань проведення СЕО, а також визначення структурних підрозділів в органах виконавчої влади та місцевого самоврядування, до компетенції яких буде належатиме питання координації проведення СЕО.</w:t>
      </w:r>
    </w:p>
    <w:p w14:paraId="44915948" w14:textId="478A8CBB" w:rsidR="002F0C66" w:rsidRPr="00984ECA" w:rsidRDefault="002F0C66" w:rsidP="00984ECA">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У середині 2017 р. в Україні було</w:t>
      </w:r>
      <w:r w:rsidR="00984ECA">
        <w:rPr>
          <w:rFonts w:ascii="Times New Roman" w:hAnsi="Times New Roman" w:cs="Times New Roman"/>
          <w:sz w:val="20"/>
          <w:szCs w:val="20"/>
        </w:rPr>
        <w:t xml:space="preserve"> </w:t>
      </w:r>
      <w:r w:rsidRPr="00CC4B72">
        <w:rPr>
          <w:rFonts w:ascii="Times New Roman" w:hAnsi="Times New Roman" w:cs="Times New Roman"/>
          <w:sz w:val="20"/>
          <w:szCs w:val="20"/>
        </w:rPr>
        <w:t xml:space="preserve">прийнято ЗУ </w:t>
      </w:r>
      <w:r w:rsidRPr="00CC4B72">
        <w:rPr>
          <w:rFonts w:ascii="Times New Roman" w:hAnsi="Times New Roman" w:cs="Times New Roman"/>
          <w:b/>
          <w:sz w:val="20"/>
          <w:szCs w:val="20"/>
        </w:rPr>
        <w:t>«Про оцінку впливу на довкілля»</w:t>
      </w:r>
      <w:r w:rsidRPr="00CC4B72">
        <w:rPr>
          <w:rFonts w:ascii="Times New Roman" w:hAnsi="Times New Roman" w:cs="Times New Roman"/>
          <w:sz w:val="20"/>
          <w:szCs w:val="20"/>
        </w:rPr>
        <w:t>, який встановлює правові та організаційні засади оцінки впливу на довкілля, спрямованої на запобігання шкоди довкіллю, забезпечення екологічної безпеки, охорони довкілля, раціонального використання й відтворення природних ресурсів під час прийняття рішень про провадження господарської діяльності, яка може мати значний вплив на довкілля, з урахуванням державних, громадських та приватних інтересів.</w:t>
      </w:r>
    </w:p>
    <w:p w14:paraId="171B001E" w14:textId="175527EE" w:rsidR="002F0C66" w:rsidRPr="00CC4B72" w:rsidRDefault="00984ECA" w:rsidP="002F0C66">
      <w:pPr>
        <w:numPr>
          <w:ilvl w:val="1"/>
          <w:numId w:val="23"/>
        </w:numPr>
        <w:adjustRightInd w:val="0"/>
        <w:snapToGrid w:val="0"/>
        <w:spacing w:after="0" w:line="240" w:lineRule="auto"/>
        <w:ind w:left="0" w:firstLine="567"/>
        <w:jc w:val="both"/>
        <w:rPr>
          <w:rFonts w:ascii="Times New Roman" w:hAnsi="Times New Roman" w:cs="Times New Roman"/>
          <w:sz w:val="20"/>
          <w:szCs w:val="20"/>
        </w:rPr>
      </w:pPr>
      <w:r>
        <w:rPr>
          <w:rFonts w:ascii="Times New Roman" w:hAnsi="Times New Roman" w:cs="Times New Roman"/>
          <w:b/>
          <w:sz w:val="20"/>
          <w:szCs w:val="20"/>
        </w:rPr>
        <w:t>Е</w:t>
      </w:r>
      <w:r w:rsidR="002F0C66" w:rsidRPr="00CC4B72">
        <w:rPr>
          <w:rFonts w:ascii="Times New Roman" w:hAnsi="Times New Roman" w:cs="Times New Roman"/>
          <w:b/>
          <w:sz w:val="20"/>
          <w:szCs w:val="20"/>
        </w:rPr>
        <w:t xml:space="preserve">кологічне партнерство та добровільні угоди. </w:t>
      </w:r>
      <w:r w:rsidR="002F0C66" w:rsidRPr="00CC4B72">
        <w:rPr>
          <w:rFonts w:ascii="Times New Roman" w:hAnsi="Times New Roman" w:cs="Times New Roman"/>
          <w:sz w:val="20"/>
          <w:szCs w:val="20"/>
        </w:rPr>
        <w:t>Екологічне партнерство розглядається в програмних документах зі сталого розвитку в європейській екологічній політиці як ефективний механізм інтеграції між державними й місцевими органами управління, промисловими, підприємницькими, громадськими, науковими й освітніми колами суспільства під час розроблення ефективних підходів для ухвалення та реалізації стратегічних рішень на всіх рівнях управління.</w:t>
      </w:r>
    </w:p>
    <w:p w14:paraId="01E03407"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Екологічне партнерство базується на загальновизнаних міжнародною спільнотою принципах:</w:t>
      </w:r>
    </w:p>
    <w:p w14:paraId="11389BB4" w14:textId="77777777" w:rsidR="002F0C66" w:rsidRPr="00CC4B72" w:rsidRDefault="002F0C66" w:rsidP="002F0C66">
      <w:pPr>
        <w:numPr>
          <w:ilvl w:val="1"/>
          <w:numId w:val="24"/>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зменшення інформаційного розриву й розширення доступу до інформації при ухваленні та реалізації рішень;</w:t>
      </w:r>
    </w:p>
    <w:p w14:paraId="43BA13D9" w14:textId="77777777" w:rsidR="002F0C66" w:rsidRPr="00CC4B72" w:rsidRDefault="002F0C66" w:rsidP="002F0C66">
      <w:pPr>
        <w:numPr>
          <w:ilvl w:val="1"/>
          <w:numId w:val="24"/>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еколого-економічної ефективності спільних рішень;</w:t>
      </w:r>
    </w:p>
    <w:p w14:paraId="549832F0" w14:textId="77777777" w:rsidR="002F0C66" w:rsidRPr="00CC4B72" w:rsidRDefault="002F0C66" w:rsidP="002F0C66">
      <w:pPr>
        <w:numPr>
          <w:ilvl w:val="1"/>
          <w:numId w:val="24"/>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соціальної справедливості, надійності й демократичності;</w:t>
      </w:r>
    </w:p>
    <w:p w14:paraId="6DE7097C" w14:textId="77777777" w:rsidR="002F0C66" w:rsidRPr="00CC4B72" w:rsidRDefault="002F0C66" w:rsidP="002F0C66">
      <w:pPr>
        <w:numPr>
          <w:ilvl w:val="1"/>
          <w:numId w:val="24"/>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екологічної раціональності й безпечності;</w:t>
      </w:r>
    </w:p>
    <w:p w14:paraId="5363D441" w14:textId="77777777" w:rsidR="002F0C66" w:rsidRPr="00CC4B72" w:rsidRDefault="002F0C66" w:rsidP="002F0C66">
      <w:pPr>
        <w:numPr>
          <w:ilvl w:val="1"/>
          <w:numId w:val="24"/>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екосистемної доцільності;</w:t>
      </w:r>
    </w:p>
    <w:p w14:paraId="37D2A558" w14:textId="77777777" w:rsidR="002F0C66" w:rsidRPr="00CC4B72" w:rsidRDefault="002F0C66" w:rsidP="002F0C66">
      <w:pPr>
        <w:numPr>
          <w:ilvl w:val="1"/>
          <w:numId w:val="24"/>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задокументованої добровільності (добровільні угоди) спільної відповідальності за екологічні наслідки стратегічних рішень і здійснення екологічної ревізії (аудиту);</w:t>
      </w:r>
    </w:p>
    <w:p w14:paraId="271DF1BE" w14:textId="77777777" w:rsidR="002F0C66" w:rsidRPr="00CC4B72" w:rsidRDefault="002F0C66" w:rsidP="002F0C66">
      <w:pPr>
        <w:numPr>
          <w:ilvl w:val="1"/>
          <w:numId w:val="24"/>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інтернаціоналізації зовнішніх екологічних витрат на відтворення екосистем, утилізацію відходів тощо.</w:t>
      </w:r>
    </w:p>
    <w:p w14:paraId="42CFD885"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Етично-правовою основою здійснення екологічного партнерства є цільові добровільні екологічні угоди. Ці угоди можна розглядати як форму добровільного кооперування, спільних зобов'язань щодо підготовки стратегічних рішень і досягнення стратегічних цілей екологічної політики будьякого рівня (місцевого, регіонального, національного).</w:t>
      </w:r>
    </w:p>
    <w:p w14:paraId="3AB23FA2"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 xml:space="preserve">Конструктивний діалог між державою, суспільством і бізнесом, укладання добровільних екологічних угод з бізнесовими (підприємницькими) і громадськими об'єднаннями під час підготовки та ухвалення складних соціально важливих рішень. Це значно підвищує гарантії успіху їхньої </w:t>
      </w:r>
      <w:r w:rsidRPr="00CC4B72">
        <w:rPr>
          <w:rFonts w:ascii="Times New Roman" w:hAnsi="Times New Roman" w:cs="Times New Roman"/>
          <w:sz w:val="20"/>
          <w:szCs w:val="20"/>
        </w:rPr>
        <w:lastRenderedPageBreak/>
        <w:t>реалізації, спільну відповідальність. Здійснення стійкого розвитку вимагає нових форм фінансового співробітництва й нових способів фінансування проектів. При цьому важливу роль у фінансуванні природоохоронних заходів відіграє партнерство різних суспільних сегментів. Історично склалася така тенденція, що до останнього часу всі проблеми, пов'язані з екологією й розвитком, фінансувалися лише за рахунок державних кредитів. Зараз усе більше уваги приділяється приватному сектору. Згідно з експертними даними, на сьогодні він має переважну частку у фінансуванні екологічних проектів.</w:t>
      </w:r>
    </w:p>
    <w:p w14:paraId="633FF11B"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Серед ключових важелів здійснення екологічного партнерства виокремлюють створення бізнесу, модернізацію промислового комплексу й системи підтримки сільськогосподарських виробників. У цьому напрямі повинне відбуватися й реформування екологічної, податкової політики, системи державних закупівель тощо. Саме на цій основі</w:t>
      </w:r>
      <w:r>
        <w:rPr>
          <w:rFonts w:ascii="Times New Roman" w:hAnsi="Times New Roman" w:cs="Times New Roman"/>
          <w:sz w:val="20"/>
          <w:szCs w:val="20"/>
        </w:rPr>
        <w:t xml:space="preserve"> </w:t>
      </w:r>
      <w:r w:rsidRPr="00CC4B72">
        <w:rPr>
          <w:rFonts w:ascii="Times New Roman" w:hAnsi="Times New Roman" w:cs="Times New Roman"/>
          <w:sz w:val="20"/>
          <w:szCs w:val="20"/>
        </w:rPr>
        <w:t>7 грудня 2016 року було затверджено Концепцію реалізації державної політики у сфері зміни клімату на період до 2030 року. Політика протидії зміні клімату спрямована на мінімізацію викидів парникових газів шляхом низьковуглецевого розвитку економіки. Україна, як й інші країни-члени ООН, приєдналася до цього глобального процесу.</w:t>
      </w:r>
    </w:p>
    <w:p w14:paraId="27118F0C"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b/>
          <w:sz w:val="20"/>
          <w:szCs w:val="20"/>
        </w:rPr>
        <w:t xml:space="preserve">Прогрес реформ та сучасні стратегічні вектори «зеленої» модернізації в Україні. </w:t>
      </w:r>
      <w:r w:rsidRPr="00CC4B72">
        <w:rPr>
          <w:rFonts w:ascii="Times New Roman" w:hAnsi="Times New Roman" w:cs="Times New Roman"/>
          <w:sz w:val="20"/>
          <w:szCs w:val="20"/>
        </w:rPr>
        <w:t>Стратегією сталого розвитку «Україна – 2020» (січень 2015 р.) поставлені амбітні завдання з реформування національної економіки та систем управління сферою охорони навколишнього середовища і її моніторингу, які передбачають:</w:t>
      </w:r>
    </w:p>
    <w:p w14:paraId="67A98AF6" w14:textId="77777777" w:rsidR="002F0C66" w:rsidRPr="00CC4B72" w:rsidRDefault="002F0C66" w:rsidP="002F0C66">
      <w:pPr>
        <w:numPr>
          <w:ilvl w:val="0"/>
          <w:numId w:val="15"/>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 xml:space="preserve">поетапне узгодження законодавства України з директивними вимогами ЄС відповідно до Угоди про Асоціацію України з ЄС (глава 6 </w:t>
      </w:r>
      <w:r w:rsidRPr="00CC4B72">
        <w:rPr>
          <w:rFonts w:ascii="Times New Roman" w:hAnsi="Times New Roman" w:cs="Times New Roman"/>
          <w:i/>
          <w:sz w:val="20"/>
          <w:szCs w:val="20"/>
        </w:rPr>
        <w:t>«Навколишнє природне середовище»</w:t>
      </w:r>
      <w:r w:rsidRPr="00CC4B72">
        <w:rPr>
          <w:rFonts w:ascii="Times New Roman" w:hAnsi="Times New Roman" w:cs="Times New Roman"/>
          <w:sz w:val="20"/>
          <w:szCs w:val="20"/>
        </w:rPr>
        <w:t>);</w:t>
      </w:r>
    </w:p>
    <w:p w14:paraId="6E44E3C5" w14:textId="77777777" w:rsidR="002F0C66" w:rsidRPr="00CC4B72" w:rsidRDefault="002F0C66" w:rsidP="002F0C66">
      <w:pPr>
        <w:numPr>
          <w:ilvl w:val="0"/>
          <w:numId w:val="15"/>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упровадження процедур оцінки впливу проектів планів і програм на навколишнє природне середовище відповідно до Директив 2011/92 / ЄС та 2001/42 / ЄС;</w:t>
      </w:r>
    </w:p>
    <w:p w14:paraId="63E2E5B0" w14:textId="77777777" w:rsidR="002F0C66" w:rsidRPr="00CC4B72" w:rsidRDefault="002F0C66" w:rsidP="002F0C66">
      <w:pPr>
        <w:numPr>
          <w:ilvl w:val="0"/>
          <w:numId w:val="15"/>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здійснення п’ятирівневої ієрархії поводження з відходами відповідно до Директиви № 2008/98 / ЄС про відходи та підготовку планів дій з управління відходами;</w:t>
      </w:r>
    </w:p>
    <w:p w14:paraId="12928B26" w14:textId="77777777" w:rsidR="002F0C66" w:rsidRPr="00CC4B72" w:rsidRDefault="002F0C66" w:rsidP="002F0C66">
      <w:pPr>
        <w:numPr>
          <w:ilvl w:val="0"/>
          <w:numId w:val="15"/>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збільшення питомої ваги утилізації твердих побутових відходів, їх максимального повторного введення в обіг як вторинних ресурсів;</w:t>
      </w:r>
    </w:p>
    <w:p w14:paraId="1AF0EE19" w14:textId="77777777" w:rsidR="002F0C66" w:rsidRPr="00CC4B72" w:rsidRDefault="002F0C66" w:rsidP="002F0C66">
      <w:pPr>
        <w:numPr>
          <w:ilvl w:val="0"/>
          <w:numId w:val="15"/>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упровадження принципу «забруднювач платить» і розширеної відповідальності виробника, зокрема у сфері упаковки;</w:t>
      </w:r>
    </w:p>
    <w:p w14:paraId="27EAFEE3" w14:textId="77777777" w:rsidR="002F0C66" w:rsidRPr="00CC4B72" w:rsidRDefault="002F0C66" w:rsidP="002F0C66">
      <w:pPr>
        <w:numPr>
          <w:ilvl w:val="0"/>
          <w:numId w:val="15"/>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здійснення реформи системи ціноі тарифоутворення на енергію й паливо, перегляд механізму формування балансу енергоресурсів, відмову від перехресного субсидування;</w:t>
      </w:r>
    </w:p>
    <w:p w14:paraId="7D412114" w14:textId="77777777" w:rsidR="002F0C66" w:rsidRPr="00CC4B72" w:rsidRDefault="002F0C66" w:rsidP="002F0C66">
      <w:pPr>
        <w:numPr>
          <w:ilvl w:val="0"/>
          <w:numId w:val="15"/>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створення механізму державної підтримки заходів з енергоефективності в житлових будинках і бюджетній сфері. Загалом</w:t>
      </w:r>
      <w:r>
        <w:rPr>
          <w:rFonts w:ascii="Times New Roman" w:hAnsi="Times New Roman" w:cs="Times New Roman"/>
          <w:sz w:val="20"/>
          <w:szCs w:val="20"/>
        </w:rPr>
        <w:t xml:space="preserve">  </w:t>
      </w:r>
      <w:r w:rsidRPr="00CC4B72">
        <w:rPr>
          <w:rFonts w:ascii="Times New Roman" w:hAnsi="Times New Roman" w:cs="Times New Roman"/>
          <w:sz w:val="20"/>
          <w:szCs w:val="20"/>
        </w:rPr>
        <w:t>План</w:t>
      </w:r>
      <w:r>
        <w:rPr>
          <w:rFonts w:ascii="Times New Roman" w:hAnsi="Times New Roman" w:cs="Times New Roman"/>
          <w:sz w:val="20"/>
          <w:szCs w:val="20"/>
        </w:rPr>
        <w:t xml:space="preserve"> </w:t>
      </w:r>
      <w:r w:rsidRPr="00CC4B72">
        <w:rPr>
          <w:rFonts w:ascii="Times New Roman" w:hAnsi="Times New Roman" w:cs="Times New Roman"/>
          <w:sz w:val="20"/>
          <w:szCs w:val="20"/>
        </w:rPr>
        <w:t>дій</w:t>
      </w:r>
      <w:r>
        <w:rPr>
          <w:rFonts w:ascii="Times New Roman" w:hAnsi="Times New Roman" w:cs="Times New Roman"/>
          <w:sz w:val="20"/>
          <w:szCs w:val="20"/>
        </w:rPr>
        <w:t xml:space="preserve"> </w:t>
      </w:r>
      <w:r w:rsidRPr="00CC4B72">
        <w:rPr>
          <w:rFonts w:ascii="Times New Roman" w:hAnsi="Times New Roman" w:cs="Times New Roman"/>
          <w:sz w:val="20"/>
          <w:szCs w:val="20"/>
        </w:rPr>
        <w:t>Кабінету Міністрів</w:t>
      </w:r>
      <w:r>
        <w:rPr>
          <w:rFonts w:ascii="Times New Roman" w:hAnsi="Times New Roman" w:cs="Times New Roman"/>
          <w:sz w:val="20"/>
          <w:szCs w:val="20"/>
        </w:rPr>
        <w:t xml:space="preserve"> </w:t>
      </w:r>
      <w:r w:rsidRPr="00CC4B72">
        <w:rPr>
          <w:rFonts w:ascii="Times New Roman" w:hAnsi="Times New Roman" w:cs="Times New Roman"/>
          <w:sz w:val="20"/>
          <w:szCs w:val="20"/>
        </w:rPr>
        <w:t>України,</w:t>
      </w:r>
      <w:r>
        <w:rPr>
          <w:rFonts w:ascii="Times New Roman" w:hAnsi="Times New Roman" w:cs="Times New Roman"/>
          <w:sz w:val="20"/>
          <w:szCs w:val="20"/>
        </w:rPr>
        <w:t xml:space="preserve">  </w:t>
      </w:r>
      <w:r w:rsidRPr="00CC4B72">
        <w:rPr>
          <w:rFonts w:ascii="Times New Roman" w:hAnsi="Times New Roman" w:cs="Times New Roman"/>
          <w:sz w:val="20"/>
          <w:szCs w:val="20"/>
        </w:rPr>
        <w:t>спрямований</w:t>
      </w:r>
      <w:r>
        <w:rPr>
          <w:rFonts w:ascii="Times New Roman" w:hAnsi="Times New Roman" w:cs="Times New Roman"/>
          <w:sz w:val="20"/>
          <w:szCs w:val="20"/>
        </w:rPr>
        <w:t xml:space="preserve"> </w:t>
      </w:r>
      <w:r w:rsidRPr="00CC4B72">
        <w:rPr>
          <w:rFonts w:ascii="Times New Roman" w:hAnsi="Times New Roman" w:cs="Times New Roman"/>
          <w:sz w:val="20"/>
          <w:szCs w:val="20"/>
        </w:rPr>
        <w:t xml:space="preserve">на реалізацію Стратегії сталого розвитку  «Україна-2020» та Плану імплементації Угоди про Асоціацію між </w:t>
      </w:r>
      <w:r w:rsidRPr="00CC4B72">
        <w:rPr>
          <w:rFonts w:ascii="Times New Roman" w:hAnsi="Times New Roman" w:cs="Times New Roman"/>
          <w:sz w:val="20"/>
          <w:szCs w:val="20"/>
        </w:rPr>
        <w:lastRenderedPageBreak/>
        <w:t>Україною та Євросоюзом, містить і ємний пакет завдань щодо «зеленої» трансформації економіки.</w:t>
      </w:r>
    </w:p>
    <w:p w14:paraId="469EFB92"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Серед них підвищення енергоефективності, реформування енергоринку й системи субсидій для населення, поліпшення якості житлово-комунальних послуг, розвиток відновлювальної енергетики, реалізація програми «термомодернізації» для населення, створення сприятливих умов для малого і середнього бізнесу, модернізація промислового комплексу й системи підтримки сільськогосподарських виробників.У цьому напрямку повинне відбуватися і реформування екологічної, податкової політики, системи державних закупівель тощо.</w:t>
      </w:r>
    </w:p>
    <w:p w14:paraId="5C25DAE4"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Сьогодні нашій державі притаманна загальна спрямованість державної стратегії переходу на засади сталого розвитку, що передбачає екологізацію інфраструктури, управління охороною довкілля, раціональним використанням природних ресурсів та безпекою життєдіяльності суспільства. Значущість цих постулатів зростає в умовах децентралізації управління та підвищення ролі соціально-економічного розвитку регіонів.</w:t>
      </w:r>
    </w:p>
    <w:p w14:paraId="334B4847"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 xml:space="preserve">На сьогодні «зелена» політика країни є основною домінантою на шляху до сталого зростання, а </w:t>
      </w:r>
      <w:r w:rsidRPr="00CC4B72">
        <w:rPr>
          <w:rFonts w:ascii="Times New Roman" w:hAnsi="Times New Roman" w:cs="Times New Roman"/>
          <w:b/>
          <w:sz w:val="20"/>
          <w:szCs w:val="20"/>
        </w:rPr>
        <w:t xml:space="preserve">«зелена» модернізація </w:t>
      </w:r>
      <w:r w:rsidRPr="00CC4B72">
        <w:rPr>
          <w:rFonts w:ascii="Times New Roman" w:hAnsi="Times New Roman" w:cs="Times New Roman"/>
          <w:sz w:val="20"/>
          <w:szCs w:val="20"/>
        </w:rPr>
        <w:t>являє собою систему взаємопов'язаних заходів з реалізації планів, політик, програм, що орієнтовані на розвиток технологій, процесів та видів продуктивної діяльності, які є ощадливими для довкілля, безпечними для людини та ефективними для економіки.</w:t>
      </w:r>
    </w:p>
    <w:p w14:paraId="6A209166"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Нормативно-правова база «зеленої» модернізації потребує вдосконалення та розвитку на засадах підвищення ефективності діяльності, яка пов’язана з визначенням конкретних кроків і заходів з поглиблення впровадження технологій та засобів, що сприяють переходу до «зеленого» зростання та формують конкретні  умови  реалізації  «зеленої» економіки – інституційні, організаційні, кредитно-фінансові, регулятивні тощо.</w:t>
      </w:r>
    </w:p>
    <w:p w14:paraId="7E76EC70"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«Зелена» модернізація як механізм</w:t>
      </w:r>
    </w:p>
    <w:p w14:paraId="33598497"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 xml:space="preserve">«зеленого» зростання економіки передбачає: суспільну та глобальну рівність і справедливість у розподілі ресурсів; обмеження негативних соціальних наслідків і впливу на навколишнє середовище; розуміння високої цінності </w:t>
      </w:r>
      <w:r w:rsidRPr="00CC4B72">
        <w:rPr>
          <w:rFonts w:ascii="Times New Roman" w:hAnsi="Times New Roman" w:cs="Times New Roman"/>
          <w:b/>
          <w:sz w:val="20"/>
          <w:szCs w:val="20"/>
        </w:rPr>
        <w:t>природного і соціального капіталу</w:t>
      </w:r>
      <w:r w:rsidRPr="00CC4B72">
        <w:rPr>
          <w:rFonts w:ascii="Times New Roman" w:hAnsi="Times New Roman" w:cs="Times New Roman"/>
          <w:sz w:val="20"/>
          <w:szCs w:val="20"/>
        </w:rPr>
        <w:t xml:space="preserve">, зокрема, відповідальне ставлення до виробництва і споживання в межах життєвого циклу продукції; ефективне використання ресурсів; соціально-відповідальне та екологічно безпечне споживання та виробництво; створення «зелених» робочих місць. На думку експертів, </w:t>
      </w:r>
      <w:r w:rsidRPr="00CC4B72">
        <w:rPr>
          <w:rFonts w:ascii="Times New Roman" w:hAnsi="Times New Roman" w:cs="Times New Roman"/>
          <w:b/>
          <w:sz w:val="20"/>
          <w:szCs w:val="20"/>
        </w:rPr>
        <w:t xml:space="preserve">«зелені» робочі місця </w:t>
      </w:r>
      <w:r w:rsidRPr="00CC4B72">
        <w:rPr>
          <w:rFonts w:ascii="Times New Roman" w:hAnsi="Times New Roman" w:cs="Times New Roman"/>
          <w:sz w:val="20"/>
          <w:szCs w:val="20"/>
        </w:rPr>
        <w:t>– це вид діяльності в сільському господарстві, промисловості, сфері послуг та адміністрації, який робить свій внесок у збереження або відновлення якості навколишнього середовища.</w:t>
      </w:r>
      <w:r>
        <w:rPr>
          <w:rFonts w:ascii="Times New Roman" w:hAnsi="Times New Roman" w:cs="Times New Roman"/>
          <w:sz w:val="20"/>
          <w:szCs w:val="20"/>
        </w:rPr>
        <w:t xml:space="preserve"> </w:t>
      </w:r>
      <w:r w:rsidRPr="00CC4B72">
        <w:rPr>
          <w:rFonts w:ascii="Times New Roman" w:hAnsi="Times New Roman" w:cs="Times New Roman"/>
          <w:sz w:val="20"/>
          <w:szCs w:val="20"/>
        </w:rPr>
        <w:t>Тому виникатиме постійна потреба у сприянні оптимальній і максимально безболісній реорганізації ринку праці, уникнення таким чином можливих соціальних конфліктів шляхом:</w:t>
      </w:r>
    </w:p>
    <w:p w14:paraId="0C407118" w14:textId="77777777" w:rsidR="002F0C66" w:rsidRPr="00CC4B72" w:rsidRDefault="002F0C66" w:rsidP="002F0C66">
      <w:pPr>
        <w:numPr>
          <w:ilvl w:val="0"/>
          <w:numId w:val="22"/>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lastRenderedPageBreak/>
        <w:t>розроблення прогнозів секторальних змін зайнятості населення при запровадженні курсу «зеленої» економіки, виявлення секторів потенційного скорочення зайнятості та її росту;</w:t>
      </w:r>
    </w:p>
    <w:p w14:paraId="1F3F7033" w14:textId="77777777" w:rsidR="002F0C66" w:rsidRPr="00CC4B72" w:rsidRDefault="002F0C66" w:rsidP="002F0C66">
      <w:pPr>
        <w:numPr>
          <w:ilvl w:val="0"/>
          <w:numId w:val="22"/>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спрямування механізмів державного регулювання зайнятості населення на вирішення питань перетоку зайнятих із секторів скорочення в сектори зростання;</w:t>
      </w:r>
    </w:p>
    <w:p w14:paraId="5FC01D22" w14:textId="77777777" w:rsidR="002F0C66" w:rsidRPr="00CC4B72" w:rsidRDefault="002F0C66" w:rsidP="002F0C66">
      <w:pPr>
        <w:numPr>
          <w:ilvl w:val="0"/>
          <w:numId w:val="22"/>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урахування трансформаційних змін у секторах економіки при реалізації курсу «зеленого» зростання через систему навчання та перекваліфікації кадрів, у функціонуванні відповідних інструментів державного замовлення;</w:t>
      </w:r>
    </w:p>
    <w:p w14:paraId="682A7B90" w14:textId="77777777" w:rsidR="002F0C66" w:rsidRPr="00CC4B72" w:rsidRDefault="002F0C66" w:rsidP="002F0C66">
      <w:pPr>
        <w:numPr>
          <w:ilvl w:val="0"/>
          <w:numId w:val="22"/>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передбачення застосування преференційних інвестиційних механізмів для економічного розвитку регіонів, секторальної структури господарства, де найбільш відчутними будуть зміни при впровадженні «зеленого» курсу економіки.«Зелені» робочі місця та застосування високотехнологічних  стратегій  уможливлять скорочення споживання енергії, сировини та води, звільнять економіку від вуглецевих речовин і знизять викиди парникових газів, мінімізують будь-які форми забруднення або скоротять кількість відходів виробництва, захистять і відновлять екосистему й біологічне розмаїття.</w:t>
      </w:r>
    </w:p>
    <w:p w14:paraId="40D337D4"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b/>
          <w:sz w:val="20"/>
          <w:szCs w:val="20"/>
        </w:rPr>
        <w:t xml:space="preserve">«зелена» модернізація </w:t>
      </w:r>
      <w:r w:rsidRPr="00CC4B72">
        <w:rPr>
          <w:rFonts w:ascii="Times New Roman" w:hAnsi="Times New Roman" w:cs="Times New Roman"/>
          <w:sz w:val="20"/>
          <w:szCs w:val="20"/>
        </w:rPr>
        <w:t xml:space="preserve">потребує запровадження інструментів регулятивного, організаційно-економічного та кредитно-фінансового характеру: </w:t>
      </w:r>
      <w:r w:rsidRPr="00CC4B72">
        <w:rPr>
          <w:rFonts w:ascii="Times New Roman" w:hAnsi="Times New Roman" w:cs="Times New Roman"/>
          <w:b/>
          <w:sz w:val="20"/>
          <w:szCs w:val="20"/>
        </w:rPr>
        <w:t xml:space="preserve">регулятивні </w:t>
      </w:r>
      <w:r w:rsidRPr="00CC4B72">
        <w:rPr>
          <w:rFonts w:ascii="Times New Roman" w:hAnsi="Times New Roman" w:cs="Times New Roman"/>
          <w:sz w:val="20"/>
          <w:szCs w:val="20"/>
        </w:rPr>
        <w:t>інструменти – це вдосконалення дозвільної діяльності та скорочення бюрократичних процедур щодо впровадження технологій «зеленої» енергетики та органічного агропромислового виробництва, створення «єдиного вікна» послуг для «зеленої» модернізації виробництва та житлово-комунального господарства.</w:t>
      </w:r>
    </w:p>
    <w:p w14:paraId="021184CE"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b/>
          <w:sz w:val="20"/>
          <w:szCs w:val="20"/>
        </w:rPr>
        <w:t xml:space="preserve">організаційно-економічні інструменти </w:t>
      </w:r>
      <w:r w:rsidRPr="00CC4B72">
        <w:rPr>
          <w:rFonts w:ascii="Times New Roman" w:hAnsi="Times New Roman" w:cs="Times New Roman"/>
          <w:sz w:val="20"/>
          <w:szCs w:val="20"/>
        </w:rPr>
        <w:t>– прискорена амортизація технологічних об’єктів та установок, що забезпечують «зелену» модернізацію виробництва чи надання послуг, зниження тарифів для споживання у ЖКГ енергоресурсів за умов запровадження ними</w:t>
      </w:r>
      <w:r>
        <w:rPr>
          <w:rFonts w:ascii="Times New Roman" w:hAnsi="Times New Roman" w:cs="Times New Roman"/>
          <w:sz w:val="20"/>
          <w:szCs w:val="20"/>
        </w:rPr>
        <w:t xml:space="preserve"> </w:t>
      </w:r>
      <w:r w:rsidRPr="00CC4B72">
        <w:rPr>
          <w:rFonts w:ascii="Times New Roman" w:hAnsi="Times New Roman" w:cs="Times New Roman"/>
          <w:sz w:val="20"/>
          <w:szCs w:val="20"/>
        </w:rPr>
        <w:t>«зелених» технологій, утеплення, скорочення втрат тепла тощо.</w:t>
      </w:r>
    </w:p>
    <w:p w14:paraId="75207C91"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b/>
          <w:sz w:val="20"/>
          <w:szCs w:val="20"/>
        </w:rPr>
        <w:t>кредитно-фінансові</w:t>
      </w:r>
      <w:r>
        <w:rPr>
          <w:rFonts w:ascii="Times New Roman" w:hAnsi="Times New Roman" w:cs="Times New Roman"/>
          <w:b/>
          <w:sz w:val="20"/>
          <w:szCs w:val="20"/>
        </w:rPr>
        <w:t xml:space="preserve"> </w:t>
      </w:r>
      <w:r w:rsidRPr="00CC4B72">
        <w:rPr>
          <w:rFonts w:ascii="Times New Roman" w:hAnsi="Times New Roman" w:cs="Times New Roman"/>
          <w:b/>
          <w:sz w:val="20"/>
          <w:szCs w:val="20"/>
        </w:rPr>
        <w:t xml:space="preserve">інструменти </w:t>
      </w:r>
      <w:r w:rsidRPr="00CC4B72">
        <w:rPr>
          <w:rFonts w:ascii="Times New Roman" w:hAnsi="Times New Roman" w:cs="Times New Roman"/>
          <w:sz w:val="20"/>
          <w:szCs w:val="20"/>
        </w:rPr>
        <w:t>– пільгове оподаткування проектів «зеленої» модернізації, компенсація (повна або часткова) відсотків за користування кредитними ресурсами, запровадження незмінного тарифу (</w:t>
      </w:r>
      <w:r w:rsidRPr="00CC4B72">
        <w:rPr>
          <w:rFonts w:ascii="Times New Roman" w:hAnsi="Times New Roman" w:cs="Times New Roman"/>
          <w:b/>
          <w:sz w:val="20"/>
          <w:szCs w:val="20"/>
        </w:rPr>
        <w:t>«зеленого» тарифу</w:t>
      </w:r>
      <w:r w:rsidRPr="00CC4B72">
        <w:rPr>
          <w:rFonts w:ascii="Times New Roman" w:hAnsi="Times New Roman" w:cs="Times New Roman"/>
          <w:sz w:val="20"/>
          <w:szCs w:val="20"/>
        </w:rPr>
        <w:t>) для стабілізації інвестиційної привабливості «зеленої» модернізації; у житлово-комунальному господарстві – запровадження окремих кредитних ліній за спрощеною системою управління процесами надання та обслуговування кредитів на «зелену» модернізацію.</w:t>
      </w:r>
    </w:p>
    <w:p w14:paraId="7A57CD8C"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 xml:space="preserve">Інструментом «зеленої» економіки є здійснення цілої низки реформ, спрямованих на запровадження найбільш ефективних принципів, механізмів та моделей управління соціально-економічними процесами в країнах світу. При цьому безумовним імперативом суспільства має стати практична реалізація моделі сталого розвитку, що забезпечує інтегральне поєднання </w:t>
      </w:r>
      <w:r w:rsidRPr="00CC4B72">
        <w:rPr>
          <w:rFonts w:ascii="Times New Roman" w:hAnsi="Times New Roman" w:cs="Times New Roman"/>
          <w:sz w:val="20"/>
          <w:szCs w:val="20"/>
        </w:rPr>
        <w:lastRenderedPageBreak/>
        <w:t>економічної ефективності, соціальної справедливості, ресурсної збалансованості та екобезпеки.</w:t>
      </w:r>
    </w:p>
    <w:p w14:paraId="157562FB" w14:textId="77777777" w:rsidR="002F0C66" w:rsidRPr="00CC4B72"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 xml:space="preserve">Завдання для України полягає в тому, щоб знайти своє місце, усвідомити свій стратегічний вектор, створити бачення майбутнього з урахуванням цінностей сучасного етапу розвитку. </w:t>
      </w:r>
      <w:r w:rsidRPr="00CC4B72">
        <w:rPr>
          <w:rFonts w:ascii="Times New Roman" w:hAnsi="Times New Roman" w:cs="Times New Roman"/>
          <w:b/>
          <w:sz w:val="20"/>
          <w:szCs w:val="20"/>
        </w:rPr>
        <w:t xml:space="preserve">Прогрес щодо «зеленого» зростання </w:t>
      </w:r>
      <w:r w:rsidRPr="00CC4B72">
        <w:rPr>
          <w:rFonts w:ascii="Times New Roman" w:hAnsi="Times New Roman" w:cs="Times New Roman"/>
          <w:sz w:val="20"/>
          <w:szCs w:val="20"/>
        </w:rPr>
        <w:t xml:space="preserve">залежить від кількох передумов: включення завдань «зеленої» трансформації до низки основних пріоритетів розвитку країни, екологізації політичних рішень, повної підтримки принципів «зеленого» зростання зацікавленими органами влади, знаходження консенсусу через діалог влади з бізнесом і громадськістю. Наявні політичні ініціативи на міжнародному та національному рівні на підтримку вектора «зеленого» зростання вже свідчать, що в Україні досягнута певна динаміка в «озелененні» вітчизняної економіки. Підписання у 2014 р. Угоди про Асоціацію між Україною та Європейським Союзом і ухвалення Плану дій щодо імплементації </w:t>
      </w:r>
      <w:r w:rsidRPr="00CC4B72">
        <w:rPr>
          <w:rFonts w:ascii="Times New Roman" w:hAnsi="Times New Roman" w:cs="Times New Roman"/>
          <w:b/>
          <w:sz w:val="20"/>
          <w:szCs w:val="20"/>
        </w:rPr>
        <w:t xml:space="preserve">Угоди про асоціацію на 2014-2017 рр. </w:t>
      </w:r>
      <w:r w:rsidRPr="00CC4B72">
        <w:rPr>
          <w:rFonts w:ascii="Times New Roman" w:hAnsi="Times New Roman" w:cs="Times New Roman"/>
          <w:sz w:val="20"/>
          <w:szCs w:val="20"/>
        </w:rPr>
        <w:t>(зокрема, Розділ V «</w:t>
      </w:r>
      <w:r w:rsidRPr="00CC4B72">
        <w:rPr>
          <w:rFonts w:ascii="Times New Roman" w:hAnsi="Times New Roman" w:cs="Times New Roman"/>
          <w:i/>
          <w:sz w:val="20"/>
          <w:szCs w:val="20"/>
        </w:rPr>
        <w:t>Економічне і секторальне співробітництво</w:t>
      </w:r>
      <w:r w:rsidRPr="00CC4B72">
        <w:rPr>
          <w:rFonts w:ascii="Times New Roman" w:hAnsi="Times New Roman" w:cs="Times New Roman"/>
          <w:sz w:val="20"/>
          <w:szCs w:val="20"/>
        </w:rPr>
        <w:t xml:space="preserve">»), а також планів імплементації директив і регламентів ЄС у сфері енергетики, екології та технічного регулювання налаштовують на перехід до «зеленої» європейської моделі розвитку. Україна, як й інші країни-члени ООН, приєдналася до глобального забезпечення сталого розвитку. Для встановлення стратегiчних рамок нацiонального розвитку України на перiод до 2030 року </w:t>
      </w:r>
      <w:r w:rsidRPr="00CC4B72">
        <w:rPr>
          <w:rFonts w:ascii="Times New Roman" w:hAnsi="Times New Roman" w:cs="Times New Roman"/>
          <w:b/>
          <w:sz w:val="20"/>
          <w:szCs w:val="20"/>
        </w:rPr>
        <w:t xml:space="preserve">на засадах принципу «нiкого не залишити осторонь» </w:t>
      </w:r>
      <w:r w:rsidRPr="00CC4B72">
        <w:rPr>
          <w:rFonts w:ascii="Times New Roman" w:hAnsi="Times New Roman" w:cs="Times New Roman"/>
          <w:sz w:val="20"/>
          <w:szCs w:val="20"/>
        </w:rPr>
        <w:t>було започатковано інклюзивний процес адаптації Цілей  Сталого  Розвитку.  Кожну  глобальну ціль було розглянуто з урахуванням національних особливостей.</w:t>
      </w:r>
      <w:r>
        <w:rPr>
          <w:rFonts w:ascii="Times New Roman" w:hAnsi="Times New Roman" w:cs="Times New Roman"/>
          <w:sz w:val="20"/>
          <w:szCs w:val="20"/>
        </w:rPr>
        <w:t xml:space="preserve"> </w:t>
      </w:r>
      <w:r w:rsidRPr="00CC4B72">
        <w:rPr>
          <w:rFonts w:ascii="Times New Roman" w:hAnsi="Times New Roman" w:cs="Times New Roman"/>
          <w:sz w:val="20"/>
          <w:szCs w:val="20"/>
        </w:rPr>
        <w:t>Незважаючи на це, до сьогодні не розроблена відповідно до глобальних викликів Стратегія низьковуглецевого розвитку, необхідність якої визначена міжнародними стратегічними документами (Цілі Сталого Розвитку: Україна, 2015). Адже одне з головних завдань сьогодення – забезпечення енергетичної безпеки й перехід до енергоефективного та енергоощадного використання та споживання енергоресурсів з упровадженням інноваційних технологій.</w:t>
      </w:r>
      <w:r>
        <w:rPr>
          <w:rFonts w:ascii="Times New Roman" w:hAnsi="Times New Roman" w:cs="Times New Roman"/>
          <w:sz w:val="20"/>
          <w:szCs w:val="20"/>
        </w:rPr>
        <w:t xml:space="preserve"> </w:t>
      </w:r>
      <w:r w:rsidRPr="00CC4B72">
        <w:rPr>
          <w:rFonts w:ascii="Times New Roman" w:hAnsi="Times New Roman" w:cs="Times New Roman"/>
          <w:sz w:val="20"/>
          <w:szCs w:val="20"/>
        </w:rPr>
        <w:t>Основними цілями державної політики у цій сфері є: зниження енергоємності валового внутрішнього продукту (</w:t>
      </w:r>
      <w:r w:rsidRPr="00CC4B72">
        <w:rPr>
          <w:rFonts w:ascii="Times New Roman" w:hAnsi="Times New Roman" w:cs="Times New Roman"/>
          <w:b/>
          <w:sz w:val="20"/>
          <w:szCs w:val="20"/>
        </w:rPr>
        <w:t>на 20 відсотків до кінця 2020 року</w:t>
      </w:r>
      <w:r w:rsidRPr="00CC4B72">
        <w:rPr>
          <w:rFonts w:ascii="Times New Roman" w:hAnsi="Times New Roman" w:cs="Times New Roman"/>
          <w:sz w:val="20"/>
          <w:szCs w:val="20"/>
        </w:rPr>
        <w:t>) шляхом забезпечення (упровадження)</w:t>
      </w:r>
      <w:r>
        <w:rPr>
          <w:rFonts w:ascii="Times New Roman" w:hAnsi="Times New Roman" w:cs="Times New Roman"/>
          <w:sz w:val="20"/>
          <w:szCs w:val="20"/>
        </w:rPr>
        <w:t xml:space="preserve"> </w:t>
      </w:r>
      <w:r w:rsidRPr="00CC4B72">
        <w:rPr>
          <w:rFonts w:ascii="Times New Roman" w:hAnsi="Times New Roman" w:cs="Times New Roman"/>
          <w:sz w:val="20"/>
          <w:szCs w:val="20"/>
        </w:rPr>
        <w:t xml:space="preserve">100 відсотків обов'язкового комерційного обліку споживання енергоресурсів (енергії та палива), переходу до використання енергоефективних технологій та обладнання, зокрема через механізм залучення енергосервісних компаній, реалізації проектів з використанням </w:t>
      </w:r>
      <w:r w:rsidRPr="00CC4B72">
        <w:rPr>
          <w:rFonts w:ascii="Times New Roman" w:hAnsi="Times New Roman" w:cs="Times New Roman"/>
          <w:b/>
          <w:sz w:val="20"/>
          <w:szCs w:val="20"/>
        </w:rPr>
        <w:t>альтернативних джерел енергії</w:t>
      </w:r>
      <w:r w:rsidRPr="00CC4B72">
        <w:rPr>
          <w:rFonts w:ascii="Times New Roman" w:hAnsi="Times New Roman" w:cs="Times New Roman"/>
          <w:sz w:val="20"/>
          <w:szCs w:val="20"/>
        </w:rPr>
        <w:t>; забезпечення максимально широкої диверсифікації шляхів та джерел постачання первинних енергоресурсів, зокрема нафти, природного газу, вугілля, ядерного палива, нарощування видобутку вітчизняних енергоносіїв тощо.</w:t>
      </w:r>
    </w:p>
    <w:p w14:paraId="5362F90B" w14:textId="77777777" w:rsidR="002F0C66" w:rsidRDefault="002F0C66" w:rsidP="002F0C6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 xml:space="preserve">Актуальним питанням, що потребує термінового вирішення, є розроблення та затвердження на державному рівні </w:t>
      </w:r>
      <w:r w:rsidRPr="00CC4B72">
        <w:rPr>
          <w:rFonts w:ascii="Times New Roman" w:hAnsi="Times New Roman" w:cs="Times New Roman"/>
          <w:b/>
          <w:sz w:val="20"/>
          <w:szCs w:val="20"/>
        </w:rPr>
        <w:t xml:space="preserve">доктрини «зеленої» економіки </w:t>
      </w:r>
      <w:r w:rsidRPr="00CC4B72">
        <w:rPr>
          <w:rFonts w:ascii="Times New Roman" w:hAnsi="Times New Roman" w:cs="Times New Roman"/>
          <w:sz w:val="20"/>
          <w:szCs w:val="20"/>
        </w:rPr>
        <w:t xml:space="preserve">з визначенням пріоритетів, завдань, індикаторів та цільових орієнтирів її розвитку. </w:t>
      </w:r>
    </w:p>
    <w:p w14:paraId="485B2D02" w14:textId="2986175E" w:rsidR="002F0C66" w:rsidRPr="003237DE" w:rsidRDefault="002F0C66">
      <w:pPr>
        <w:rPr>
          <w:rFonts w:ascii="Times New Roman" w:hAnsi="Times New Roman" w:cs="Times New Roman"/>
          <w:sz w:val="20"/>
          <w:szCs w:val="20"/>
        </w:rPr>
      </w:pPr>
      <w:r>
        <w:rPr>
          <w:rFonts w:ascii="Times New Roman" w:hAnsi="Times New Roman" w:cs="Times New Roman"/>
          <w:sz w:val="20"/>
          <w:szCs w:val="20"/>
        </w:rPr>
        <w:lastRenderedPageBreak/>
        <w:br w:type="page"/>
      </w:r>
    </w:p>
    <w:p w14:paraId="1B91F570" w14:textId="483BB15D" w:rsidR="00EC6A37" w:rsidRPr="00D22774" w:rsidRDefault="00EC6A37" w:rsidP="0012192B">
      <w:pPr>
        <w:adjustRightInd w:val="0"/>
        <w:snapToGrid w:val="0"/>
        <w:spacing w:after="0" w:line="240" w:lineRule="auto"/>
        <w:ind w:firstLine="567"/>
        <w:jc w:val="both"/>
        <w:rPr>
          <w:rFonts w:ascii="Times New Roman" w:hAnsi="Times New Roman" w:cs="Times New Roman"/>
          <w:b/>
          <w:sz w:val="20"/>
          <w:szCs w:val="20"/>
        </w:rPr>
      </w:pPr>
      <w:bookmarkStart w:id="7" w:name="_TOC_250003"/>
      <w:r w:rsidRPr="00D22774">
        <w:rPr>
          <w:rFonts w:ascii="Times New Roman" w:hAnsi="Times New Roman" w:cs="Times New Roman"/>
          <w:b/>
          <w:bCs/>
          <w:sz w:val="20"/>
          <w:szCs w:val="20"/>
        </w:rPr>
        <w:lastRenderedPageBreak/>
        <w:t xml:space="preserve">Тема </w:t>
      </w:r>
      <w:r w:rsidR="00201F26">
        <w:rPr>
          <w:rFonts w:ascii="Times New Roman" w:hAnsi="Times New Roman" w:cs="Times New Roman"/>
          <w:b/>
          <w:bCs/>
          <w:sz w:val="20"/>
          <w:szCs w:val="20"/>
        </w:rPr>
        <w:t>3</w:t>
      </w:r>
      <w:r w:rsidRPr="00D22774">
        <w:rPr>
          <w:rFonts w:ascii="Times New Roman" w:hAnsi="Times New Roman" w:cs="Times New Roman"/>
          <w:b/>
          <w:bCs/>
          <w:sz w:val="20"/>
          <w:szCs w:val="20"/>
        </w:rPr>
        <w:t xml:space="preserve">. </w:t>
      </w:r>
      <w:bookmarkEnd w:id="7"/>
      <w:r w:rsidR="00201F26" w:rsidRPr="00201F26">
        <w:rPr>
          <w:rFonts w:ascii="Times New Roman" w:hAnsi="Times New Roman" w:cs="Times New Roman"/>
          <w:b/>
          <w:bCs/>
          <w:sz w:val="20"/>
          <w:szCs w:val="20"/>
        </w:rPr>
        <w:t>Економічний механізм охорони навколишнього середовища та переходу до зеленої економіки</w:t>
      </w:r>
    </w:p>
    <w:p w14:paraId="685F12D1" w14:textId="6C1A8EF0"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Необхідність розроблення та впровадження політики «зеленого» зростання в Україні викликана як міжнародними зобов’язаннями, так і внутрішніми соціально-економічними й екологічними реаліями.</w:t>
      </w:r>
    </w:p>
    <w:p w14:paraId="2261CA4C" w14:textId="62D63EEC"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b/>
          <w:sz w:val="20"/>
          <w:szCs w:val="20"/>
        </w:rPr>
        <w:t xml:space="preserve">трансформація моделі екологічного управління на засадах міжнародного досвіду. </w:t>
      </w:r>
      <w:r w:rsidRPr="00D22774">
        <w:rPr>
          <w:rFonts w:ascii="Times New Roman" w:hAnsi="Times New Roman" w:cs="Times New Roman"/>
          <w:sz w:val="20"/>
          <w:szCs w:val="20"/>
        </w:rPr>
        <w:t>Аналіз наслідків реформування економіки України протягом останнього десятиріччя дозволяє констатувати, що реалізація непродуманої екологічної політики тільки загострила успадковані з радянських часів диспропорції, у тому числі в природноресурсній сфері, що слугує однією з причин гальмування успішного просування в Україні моделі повноцінної ринкової економіки. Однією з визначальних рис домінантної ще донедавна політики стала відсутність єдиної стратегії державного управління, спрямованої на реалізацію балансу еколого-економічних інтересів. Згідно зі своїми міжнародними зобов’язаннями Україна як член ООН повинна була до 2002 р. розробити Національну стратегію сталого розвитку, але, на жаль, треба констатувати, що це зобов’язання залишилось невиконаним упродовж майже півтора десятка років.</w:t>
      </w:r>
    </w:p>
    <w:p w14:paraId="70574DCE" w14:textId="32BE64C1" w:rsidR="007A6FCB" w:rsidRPr="00D22774" w:rsidRDefault="007A6FCB" w:rsidP="00642FF8">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Між тим довгострокова стратегія України щодо інтеграції до ЄС означає, зокрема, поступове наближення до відповідних стандартів природоохоронного законодавства та забезпечення дієвості механізмів їх упровадження. Ефективність таких зусиль залежить від темпів екологічних реформ у державі, які відбуваються сьогодні. Але домінує думка, що Україна не в змозі самостійно забезпечити багатомільярдні витрати для гармонізації свого екологічного законодавства з вимогами ЄС. Більш того, навіть за оптимістичними прогнозами Україна може розглядатися як можливий кандидат на вступ до ЄС не</w:t>
      </w:r>
      <w:r w:rsidR="00642FF8" w:rsidRPr="00D22774">
        <w:rPr>
          <w:rFonts w:ascii="Times New Roman" w:hAnsi="Times New Roman" w:cs="Times New Roman"/>
          <w:sz w:val="20"/>
          <w:szCs w:val="20"/>
        </w:rPr>
        <w:t xml:space="preserve"> </w:t>
      </w:r>
      <w:r w:rsidRPr="00D22774">
        <w:rPr>
          <w:rFonts w:ascii="Times New Roman" w:hAnsi="Times New Roman" w:cs="Times New Roman"/>
          <w:sz w:val="20"/>
          <w:szCs w:val="20"/>
        </w:rPr>
        <w:t>раніше ніж через 10 років. Тому сценарій майбутніх членів ЄС-країн Центральної та Східної Європи (ЦСЄ) щодо залучення визначальних коштів від ЄС на досягнення гармонізації свого екологічного законодавства з вимогами ЄС для України є несприятливим. Отже, ураховуючи тенденції сучасного етапу розвитку, необхідно більш активно ініціювати нові форми міжнародної співпраці, що дозволять мобілізувати як зовнішні, так і внутрішні резерви України для збереження, відтворення та сталого управління власним довкіллям.</w:t>
      </w:r>
    </w:p>
    <w:p w14:paraId="6050BFFC" w14:textId="302BB478"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Така теза визначає необхідність становлення ринкових реформ в Україні в тісній взаємозалежності з екологізацію і курсом на сталий розвиток. Тільки в такому контексті можливе усунення наявного  антагонізму  у  відносинах</w:t>
      </w:r>
    </w:p>
    <w:p w14:paraId="14E212F9" w14:textId="4BE976BB"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«виробництво – навколишнє середовище» і вихід України на траєкторію економічного зростання. При цьому зміст структурної перебудови макроекономічної моделі розвитку полягає в тому, щоб забезпечити (поряд зі згортанням і ліквідацією неефективних еколого небезпечних або таких, що не задовольняють еколого безпечні вимоги, підприємств) достатні темпи </w:t>
      </w:r>
      <w:r w:rsidRPr="00D22774">
        <w:rPr>
          <w:rFonts w:ascii="Times New Roman" w:hAnsi="Times New Roman" w:cs="Times New Roman"/>
          <w:sz w:val="20"/>
          <w:szCs w:val="20"/>
        </w:rPr>
        <w:lastRenderedPageBreak/>
        <w:t>впровадження сучасних конкурентноздатних і беззбиткових виробництв і видів діяльності.</w:t>
      </w:r>
    </w:p>
    <w:p w14:paraId="3FFE8790" w14:textId="0CE18F90"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Лише так Україна зможе гідно інтегруватися у світовий економічний простір, забезпечити необхідний рівень економічної й екологічної безпеки і добробут свого населення.</w:t>
      </w:r>
    </w:p>
    <w:p w14:paraId="22A3867E" w14:textId="1CBC93A2"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b/>
          <w:sz w:val="20"/>
          <w:szCs w:val="20"/>
        </w:rPr>
        <w:t xml:space="preserve">основним завданням екологічного управління в просторовому контексті </w:t>
      </w:r>
      <w:r w:rsidRPr="00D22774">
        <w:rPr>
          <w:rFonts w:ascii="Times New Roman" w:hAnsi="Times New Roman" w:cs="Times New Roman"/>
          <w:sz w:val="20"/>
          <w:szCs w:val="20"/>
        </w:rPr>
        <w:t>є створення правових, соціально-економічних та політичних передумов для сталого розвитку й життєдіяльності суспільства в умовах складної екологічної ситуації.</w:t>
      </w:r>
    </w:p>
    <w:p w14:paraId="008EB15A" w14:textId="748A2DFB" w:rsidR="007A6FCB" w:rsidRPr="00D22774" w:rsidRDefault="007A6FCB" w:rsidP="00642FF8">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Поява нових економічних, соціальних й екологічних пріоритетів, що спираються на нові збалансовані структури виробництва й споживання, нові технології та форми інвестицій, спричинює необхідність трансформації національних систем управління на локальному, регіональному, державному і глобальному рівнях, головним завданням яких є </w:t>
      </w:r>
      <w:r w:rsidRPr="00D22774">
        <w:rPr>
          <w:rFonts w:ascii="Times New Roman" w:hAnsi="Times New Roman" w:cs="Times New Roman"/>
          <w:b/>
          <w:sz w:val="20"/>
          <w:szCs w:val="20"/>
        </w:rPr>
        <w:t>гармонізація  відносин  у  системі</w:t>
      </w:r>
    </w:p>
    <w:p w14:paraId="7D3678BF" w14:textId="6C530ACB"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b/>
          <w:sz w:val="20"/>
          <w:szCs w:val="20"/>
        </w:rPr>
        <w:t>«природа – суспільство»</w:t>
      </w:r>
      <w:r w:rsidRPr="00D22774">
        <w:rPr>
          <w:rFonts w:ascii="Times New Roman" w:hAnsi="Times New Roman" w:cs="Times New Roman"/>
          <w:sz w:val="20"/>
          <w:szCs w:val="20"/>
        </w:rPr>
        <w:t>. У зв'язку з цим набуває актуальності розвиток систем екологічного управління й досягнення ними такого рівня досконалості, який забезпечує гармонійний розвиток виробничого та природоресурсного потенціалу, дає змогу узгоджувати «цілі» господарювання людини з</w:t>
      </w:r>
    </w:p>
    <w:p w14:paraId="2DC33A4A" w14:textId="397D0258"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«цілями» саморегуляції природних екосистем й уникати деградації навколишнього природного середовища.</w:t>
      </w:r>
    </w:p>
    <w:p w14:paraId="359FF47D" w14:textId="6A344E5B"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На сьогодні питання обґрунтування вибору шляхів суспільно-політичного та економічного розвитку України є надзвичайно актуальними. При плануванні та здійсненні економічних та соціальних реформ необхідно передбачати та оцінювати їх вплив на умови та рівень життя населення й наслідки для майбутніх поколінь. Оновлення завдань </w:t>
      </w:r>
      <w:r w:rsidRPr="00D22774">
        <w:rPr>
          <w:rFonts w:ascii="Times New Roman" w:hAnsi="Times New Roman" w:cs="Times New Roman"/>
          <w:b/>
          <w:sz w:val="20"/>
          <w:szCs w:val="20"/>
        </w:rPr>
        <w:t xml:space="preserve">Цілей Розвитку тисячоліття </w:t>
      </w:r>
      <w:r w:rsidRPr="00D22774">
        <w:rPr>
          <w:rFonts w:ascii="Times New Roman" w:hAnsi="Times New Roman" w:cs="Times New Roman"/>
          <w:sz w:val="20"/>
          <w:szCs w:val="20"/>
        </w:rPr>
        <w:t>має стати поштовхом для цілеспрямованого вдосконалювання регулюючих механізмів, що розвинулися під час трансформаційних зрушень в Україні, з одночасним забезпеченням прав людини на екологобезпечне середовище. Отже, у сучасних умовах збільшуваної дефіцитності природних, матеріальних, фінансових та інших ресурсів і кризового стану в багатьох регіонах України соціальної, економічної й екологічної ситуації, необхідно створити надійну основу для стійкого використання, відтворення й охорони навколишнього природного середовища. Розв’язання цієї проблеми можливе за наявності ефективної системи екологічного управління та її узгодження з процесами просторового розвитку. За роки незалежності в Україні було загалом сформовано засади державної політики щодо просування моделі «зеленої» економіки, визначено довгострокову стратегію розв'язання соціально-</w:t>
      </w:r>
    </w:p>
    <w:p w14:paraId="54731D73" w14:textId="10A541BA"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економічних та екологічних проблем. Проте на сьогодні цілісний закон прямої дії відсутній. Між тим розв’язання проблем забезпечення «зеленого» зростання має стати пріоритетним напрямом і обов’язковим складником </w:t>
      </w:r>
      <w:r w:rsidRPr="00D22774">
        <w:rPr>
          <w:rFonts w:ascii="Times New Roman" w:hAnsi="Times New Roman" w:cs="Times New Roman"/>
          <w:sz w:val="20"/>
          <w:szCs w:val="20"/>
        </w:rPr>
        <w:lastRenderedPageBreak/>
        <w:t>національної політики у здійсненні соціально-економічних реформ, формуванні умов сталого розвитку країни.</w:t>
      </w:r>
    </w:p>
    <w:p w14:paraId="5F3DADE6" w14:textId="366ABDF6"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Водночас правові засади екологічної та соціальної політики закладено в Основному Законі – Конституції України. Виконуючи свій конституційний обов'язок «із забезпечення екологічної безпеки і підтримання екологічної рівноваги на території України» (ст. 16 Конституції України), Кабінет Міністрів України у 2000 р. спрямовував свою діяльність на забезпечення прав громадян «на безпечне для життя і здоров'я довкілля» (</w:t>
      </w:r>
      <w:r w:rsidRPr="00D22774">
        <w:rPr>
          <w:rFonts w:ascii="Times New Roman" w:hAnsi="Times New Roman" w:cs="Times New Roman"/>
          <w:b/>
          <w:sz w:val="20"/>
          <w:szCs w:val="20"/>
        </w:rPr>
        <w:t>ст. 50 конституції України</w:t>
      </w:r>
      <w:r w:rsidRPr="00D22774">
        <w:rPr>
          <w:rFonts w:ascii="Times New Roman" w:hAnsi="Times New Roman" w:cs="Times New Roman"/>
          <w:sz w:val="20"/>
          <w:szCs w:val="20"/>
        </w:rPr>
        <w:t>). Для досягнення цієї мети Урядом визначено такі пріоритети своєї діяльності:</w:t>
      </w:r>
    </w:p>
    <w:p w14:paraId="5C454AB0" w14:textId="257FB08C" w:rsidR="007A6FCB" w:rsidRPr="00D22774" w:rsidRDefault="007A6FCB" w:rsidP="00030A38">
      <w:pPr>
        <w:numPr>
          <w:ilvl w:val="0"/>
          <w:numId w:val="43"/>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розвиток і вдосконалення екологічного законодавства, екологізація всього законодавства (бюджетного, податкового тощо) шляхом упровадження принципів сталого розвитку в законодавче поле України;</w:t>
      </w:r>
    </w:p>
    <w:p w14:paraId="694F1E9F" w14:textId="7D5AEF67" w:rsidR="007A6FCB" w:rsidRPr="00D22774" w:rsidRDefault="007A6FCB" w:rsidP="00030A38">
      <w:pPr>
        <w:numPr>
          <w:ilvl w:val="0"/>
          <w:numId w:val="43"/>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інституційне вдосконалення державної системи управління у сфері охорони довкілля та ресурсокористування;</w:t>
      </w:r>
    </w:p>
    <w:p w14:paraId="1B56AE0E" w14:textId="249F2CAB" w:rsidR="007A6FCB" w:rsidRPr="00D22774" w:rsidRDefault="007A6FCB" w:rsidP="00030A38">
      <w:pPr>
        <w:numPr>
          <w:ilvl w:val="0"/>
          <w:numId w:val="43"/>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розширення участі громадськості у виробленні і прийнятті рішень у сфері охорони довкілля, використання природних ресурсів та екологічної безпеки;</w:t>
      </w:r>
    </w:p>
    <w:p w14:paraId="675FFEF7" w14:textId="441ECC7E" w:rsidR="007A6FCB" w:rsidRPr="00D22774" w:rsidRDefault="007A6FCB" w:rsidP="00030A38">
      <w:pPr>
        <w:numPr>
          <w:ilvl w:val="0"/>
          <w:numId w:val="43"/>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формування нової екологічної свідомості громадян через створення розгалуженої системи закладів екологічної освіти та виховання;</w:t>
      </w:r>
    </w:p>
    <w:p w14:paraId="68C52631" w14:textId="20F4EBE6" w:rsidR="007A6FCB" w:rsidRPr="00D22774" w:rsidRDefault="007A6FCB" w:rsidP="00030A38">
      <w:pPr>
        <w:numPr>
          <w:ilvl w:val="0"/>
          <w:numId w:val="43"/>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розвитків</w:t>
      </w:r>
      <w:r w:rsidR="009C2BC3">
        <w:rPr>
          <w:rFonts w:ascii="Times New Roman" w:hAnsi="Times New Roman" w:cs="Times New Roman"/>
          <w:sz w:val="20"/>
          <w:szCs w:val="20"/>
        </w:rPr>
        <w:t xml:space="preserve"> і у</w:t>
      </w:r>
      <w:r w:rsidRPr="00D22774">
        <w:rPr>
          <w:rFonts w:ascii="Times New Roman" w:hAnsi="Times New Roman" w:cs="Times New Roman"/>
          <w:sz w:val="20"/>
          <w:szCs w:val="20"/>
        </w:rPr>
        <w:t>досконалення</w:t>
      </w:r>
      <w:r w:rsidR="009C2BC3">
        <w:rPr>
          <w:rFonts w:ascii="Times New Roman" w:hAnsi="Times New Roman" w:cs="Times New Roman"/>
          <w:sz w:val="20"/>
          <w:szCs w:val="20"/>
        </w:rPr>
        <w:t xml:space="preserve"> </w:t>
      </w:r>
      <w:r w:rsidRPr="00D22774">
        <w:rPr>
          <w:rFonts w:ascii="Times New Roman" w:hAnsi="Times New Roman" w:cs="Times New Roman"/>
          <w:sz w:val="20"/>
          <w:szCs w:val="20"/>
        </w:rPr>
        <w:t>економічного механізму природокористування;</w:t>
      </w:r>
    </w:p>
    <w:p w14:paraId="6E57052F" w14:textId="1102815C" w:rsidR="007A6FCB" w:rsidRPr="00D22774" w:rsidRDefault="007A6FCB" w:rsidP="00030A38">
      <w:pPr>
        <w:numPr>
          <w:ilvl w:val="0"/>
          <w:numId w:val="43"/>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поглиблення міжнародного співробітництва у сфері охорони довкілля, гармонізація національного екологічного законодавства з європейським;</w:t>
      </w:r>
    </w:p>
    <w:p w14:paraId="1B6EBEAF" w14:textId="28295255" w:rsidR="007A6FCB" w:rsidRPr="00D22774" w:rsidRDefault="007A6FCB" w:rsidP="00030A38">
      <w:pPr>
        <w:numPr>
          <w:ilvl w:val="0"/>
          <w:numId w:val="43"/>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створення ефективної державної системи моніторингу довкілля та використання природних ресурсів;</w:t>
      </w:r>
    </w:p>
    <w:p w14:paraId="39AD42FD" w14:textId="747D2980" w:rsidR="007A6FCB" w:rsidRPr="00D22774" w:rsidRDefault="007A6FCB" w:rsidP="00030A38">
      <w:pPr>
        <w:numPr>
          <w:ilvl w:val="0"/>
          <w:numId w:val="43"/>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посилення державного і громадського контролю за дотриманням</w:t>
      </w:r>
      <w:r w:rsidR="00642FF8" w:rsidRPr="00D22774">
        <w:rPr>
          <w:rFonts w:ascii="Times New Roman" w:hAnsi="Times New Roman" w:cs="Times New Roman"/>
          <w:sz w:val="20"/>
          <w:szCs w:val="20"/>
        </w:rPr>
        <w:t xml:space="preserve"> </w:t>
      </w:r>
      <w:r w:rsidRPr="00D22774">
        <w:rPr>
          <w:rFonts w:ascii="Times New Roman" w:hAnsi="Times New Roman" w:cs="Times New Roman"/>
          <w:sz w:val="20"/>
          <w:szCs w:val="20"/>
        </w:rPr>
        <w:t>природоохоронного законодавства, підвищення його дієвості.</w:t>
      </w:r>
    </w:p>
    <w:p w14:paraId="75D685DA" w14:textId="5C1021BD" w:rsidR="007A6FCB" w:rsidRPr="00D22774" w:rsidRDefault="007A6FCB" w:rsidP="00466CF8">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Реалізація названих пріоритетів потребувала вжиття цілої системи заходів правового характеру, спрямованих на створення безпечного для життєдіяльності людини стану довкілля. У сучасному розвитку українського екологічного законодавства помітно тенденцію до його деталізації, подальшого вдосконалення окремих його частин. Було впроваджено низку основних нормативно-правових актів, які регулюють майже всі аспекти охорони навколишнього середовища й використання природних ресурсів. Спільними зусиллями всіх гілок влади закладено основи законодавства у сфері охорони довкілля, використання природних ресурсів, екологічної безпеки. Так, зокрема, Верховною Радою України були прийняті Земельний, Лісовий, Водний кодекси та Кодекс про надра, закони України «Про охорону навколишнього природного середовища», «Про природно-заповідний фонд», «Про охорону атмосферного повітря», «Про тваринний світ», «Про екологічну експертизу», «Про використання ядерної енергії та радіаційну безпеку», «Про </w:t>
      </w:r>
      <w:r w:rsidRPr="00D22774">
        <w:rPr>
          <w:rFonts w:ascii="Times New Roman" w:hAnsi="Times New Roman" w:cs="Times New Roman"/>
          <w:sz w:val="20"/>
          <w:szCs w:val="20"/>
        </w:rPr>
        <w:lastRenderedPageBreak/>
        <w:t>поводження з радіоактивними відходами», «Про відходи»,</w:t>
      </w:r>
      <w:r w:rsidR="00466CF8">
        <w:rPr>
          <w:rFonts w:ascii="Times New Roman" w:hAnsi="Times New Roman" w:cs="Times New Roman"/>
          <w:sz w:val="20"/>
          <w:szCs w:val="20"/>
        </w:rPr>
        <w:t xml:space="preserve"> </w:t>
      </w:r>
      <w:r w:rsidRPr="00D22774">
        <w:rPr>
          <w:rFonts w:ascii="Times New Roman" w:hAnsi="Times New Roman" w:cs="Times New Roman"/>
          <w:sz w:val="20"/>
          <w:szCs w:val="20"/>
        </w:rPr>
        <w:t>«Про рослинний світ».</w:t>
      </w:r>
    </w:p>
    <w:p w14:paraId="0916245E" w14:textId="7A57B8ED" w:rsidR="00642FF8" w:rsidRPr="00D22774" w:rsidRDefault="007A6FCB" w:rsidP="00642FF8">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З прийняттям у 2001 р. нової редакції Закону </w:t>
      </w:r>
      <w:r w:rsidRPr="00D22774">
        <w:rPr>
          <w:rFonts w:ascii="Times New Roman" w:hAnsi="Times New Roman" w:cs="Times New Roman"/>
          <w:b/>
          <w:sz w:val="20"/>
          <w:szCs w:val="20"/>
        </w:rPr>
        <w:t xml:space="preserve">«Про охорону навколишнього природного середовища» </w:t>
      </w:r>
      <w:r w:rsidRPr="00D22774">
        <w:rPr>
          <w:rFonts w:ascii="Times New Roman" w:hAnsi="Times New Roman" w:cs="Times New Roman"/>
          <w:sz w:val="20"/>
          <w:szCs w:val="20"/>
        </w:rPr>
        <w:t>в Україні відбувається перебудова законодавчої, інституціональної та нормативної бази. Сьогодні одним із пріоритетних напрямів реалізації екологічної політики є вдосконалення системи інтегрованого екологічного управління, міжвідомчої координації, обов’язкова інтеграція екологічного складника до програм розвитку секторів економіки. Для цього в Україні реалізовано низку заходів та прийнято нормативно-правові документи, щову майбутньому створить умови для підвищення ефективності екологічної політики через удосконалення законодавства та приведення його у відповідність до міжнародних стандартів та вимог.</w:t>
      </w:r>
    </w:p>
    <w:p w14:paraId="5FD4C7E8" w14:textId="63A1C2B1" w:rsidR="007A6FCB" w:rsidRPr="00D22774" w:rsidRDefault="007A6FCB" w:rsidP="00642FF8">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Основними вимогами до такого законодавства є його відповідність Конституції, наближення до </w:t>
      </w:r>
      <w:r w:rsidRPr="00D22774">
        <w:rPr>
          <w:rFonts w:ascii="Times New Roman" w:hAnsi="Times New Roman" w:cs="Times New Roman"/>
          <w:b/>
          <w:sz w:val="20"/>
          <w:szCs w:val="20"/>
        </w:rPr>
        <w:t xml:space="preserve">європейських вимог (додаток 1) </w:t>
      </w:r>
      <w:r w:rsidRPr="00D22774">
        <w:rPr>
          <w:rFonts w:ascii="Times New Roman" w:hAnsi="Times New Roman" w:cs="Times New Roman"/>
          <w:sz w:val="20"/>
          <w:szCs w:val="20"/>
        </w:rPr>
        <w:t xml:space="preserve">та відповідних </w:t>
      </w:r>
      <w:r w:rsidRPr="00D22774">
        <w:rPr>
          <w:rFonts w:ascii="Times New Roman" w:hAnsi="Times New Roman" w:cs="Times New Roman"/>
          <w:b/>
          <w:sz w:val="20"/>
          <w:szCs w:val="20"/>
        </w:rPr>
        <w:t>директив ЄС (додаток 2)</w:t>
      </w:r>
      <w:r w:rsidRPr="00D22774">
        <w:rPr>
          <w:rFonts w:ascii="Times New Roman" w:hAnsi="Times New Roman" w:cs="Times New Roman"/>
          <w:sz w:val="20"/>
          <w:szCs w:val="20"/>
        </w:rPr>
        <w:t>, забезпечення впровадження багатосторонніх екологічних угод (конвенцій, протоколів тощо), стороною яких є Україна, соціальна прийнятність, реалістичність, економічна ефективність. Законодавство має сприяти гнучкому застосуванню відповідних економічних інструментів для стимулювання впровадження інноваційних екологічних технологій, розв'язанню екологічних проблем на місцевому рівні.</w:t>
      </w:r>
    </w:p>
    <w:p w14:paraId="5EA70F93" w14:textId="1958A831" w:rsidR="007A6FCB" w:rsidRPr="00466CF8" w:rsidRDefault="007A6FCB" w:rsidP="00466CF8">
      <w:pPr>
        <w:adjustRightInd w:val="0"/>
        <w:snapToGrid w:val="0"/>
        <w:spacing w:after="0" w:line="240" w:lineRule="auto"/>
        <w:ind w:firstLine="567"/>
        <w:jc w:val="both"/>
        <w:rPr>
          <w:rFonts w:ascii="Times New Roman" w:hAnsi="Times New Roman" w:cs="Times New Roman"/>
          <w:b/>
          <w:sz w:val="20"/>
          <w:szCs w:val="20"/>
        </w:rPr>
      </w:pPr>
      <w:r w:rsidRPr="00D22774">
        <w:rPr>
          <w:rFonts w:ascii="Times New Roman" w:hAnsi="Times New Roman" w:cs="Times New Roman"/>
          <w:sz w:val="20"/>
          <w:szCs w:val="20"/>
        </w:rPr>
        <w:t xml:space="preserve">Аналіз екологічної політики України щодо створення екологічних </w:t>
      </w:r>
      <w:r w:rsidRPr="00D22774">
        <w:rPr>
          <w:rFonts w:ascii="Times New Roman" w:hAnsi="Times New Roman" w:cs="Times New Roman"/>
          <w:b/>
          <w:sz w:val="20"/>
          <w:szCs w:val="20"/>
        </w:rPr>
        <w:t>передумов</w:t>
      </w:r>
      <w:r w:rsidR="00466CF8">
        <w:rPr>
          <w:rFonts w:ascii="Times New Roman" w:hAnsi="Times New Roman" w:cs="Times New Roman"/>
          <w:b/>
          <w:sz w:val="20"/>
          <w:szCs w:val="20"/>
        </w:rPr>
        <w:t xml:space="preserve"> </w:t>
      </w:r>
      <w:r w:rsidRPr="00D22774">
        <w:rPr>
          <w:rFonts w:ascii="Times New Roman" w:hAnsi="Times New Roman" w:cs="Times New Roman"/>
          <w:b/>
          <w:sz w:val="20"/>
          <w:szCs w:val="20"/>
        </w:rPr>
        <w:t xml:space="preserve">«зеленого» курсу </w:t>
      </w:r>
      <w:r w:rsidRPr="00D22774">
        <w:rPr>
          <w:rFonts w:ascii="Times New Roman" w:hAnsi="Times New Roman" w:cs="Times New Roman"/>
          <w:sz w:val="20"/>
          <w:szCs w:val="20"/>
        </w:rPr>
        <w:t xml:space="preserve">розвитку держави є складним завданням, адже потребує врахування багатьох факторів та проведення одночасного аналізу нормативноправових та інституціональних засад втілення екологічної політики, з одного боку, і зрушень і змін у використанні й відновленні природних ресурсів, антропогенному навантаженні, що відбулися за напрямами господарської діяльності та основними складниками навколишнього середовища (атмосферного повітря, ґрунтів, водного середовища, біота ландшафтного різноманіття, лісів), – з іншого. До прийняття </w:t>
      </w:r>
      <w:r w:rsidRPr="00D22774">
        <w:rPr>
          <w:rFonts w:ascii="Times New Roman" w:hAnsi="Times New Roman" w:cs="Times New Roman"/>
          <w:b/>
          <w:sz w:val="20"/>
          <w:szCs w:val="20"/>
        </w:rPr>
        <w:t xml:space="preserve">Стратегії державної екологічної політики до 2020 р. </w:t>
      </w:r>
      <w:r w:rsidRPr="00D22774">
        <w:rPr>
          <w:rFonts w:ascii="Times New Roman" w:hAnsi="Times New Roman" w:cs="Times New Roman"/>
          <w:sz w:val="20"/>
          <w:szCs w:val="20"/>
        </w:rPr>
        <w:t>(грудень 2010 р.) головним документом, що визначав екологічну політику і стратегію держави, були «Основні напрями державної політики в галузі охорони навколишнього природного середовища, використання природних ресурсів та забезпечення екологічної безпеки», затверджені Постановою Верховної Ради України 5 березня 1998 року. Хоча пріоритети розвитку держави дещо змінилися з того часу, багато положень цього документа не втратили своєї актуальності і до цього часу, зокрема щодо:</w:t>
      </w:r>
    </w:p>
    <w:p w14:paraId="340F35FF" w14:textId="4EDEF48B" w:rsidR="00C11F2C" w:rsidRPr="00D22774" w:rsidRDefault="007A6FCB" w:rsidP="00030A38">
      <w:pPr>
        <w:numPr>
          <w:ilvl w:val="0"/>
          <w:numId w:val="43"/>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упровадження</w:t>
      </w:r>
      <w:r w:rsidR="009C2BC3">
        <w:rPr>
          <w:rFonts w:ascii="Times New Roman" w:hAnsi="Times New Roman" w:cs="Times New Roman"/>
          <w:sz w:val="20"/>
          <w:szCs w:val="20"/>
        </w:rPr>
        <w:t xml:space="preserve"> </w:t>
      </w:r>
      <w:r w:rsidRPr="00D22774">
        <w:rPr>
          <w:rFonts w:ascii="Times New Roman" w:hAnsi="Times New Roman" w:cs="Times New Roman"/>
          <w:sz w:val="20"/>
          <w:szCs w:val="20"/>
        </w:rPr>
        <w:t>еколого-економічних реформ, що базуються на стратегії  сталого  розвитку  відповідно до національного та європейського законодавства;</w:t>
      </w:r>
    </w:p>
    <w:p w14:paraId="45574025" w14:textId="3979E012" w:rsidR="007A6FCB" w:rsidRPr="00D22774" w:rsidRDefault="007A6FCB" w:rsidP="00030A38">
      <w:pPr>
        <w:numPr>
          <w:ilvl w:val="1"/>
          <w:numId w:val="43"/>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lastRenderedPageBreak/>
        <w:t>належного забезпечення участі громадськості в прийняті рішень і доступі до правосуддя з питань, що стосуються навколишнього середовища, розвиток екологічної освіти та виховання;</w:t>
      </w:r>
    </w:p>
    <w:p w14:paraId="3F44AFEC" w14:textId="1395E749" w:rsidR="007A6FCB" w:rsidRPr="00D22774" w:rsidRDefault="007A6FCB" w:rsidP="00030A38">
      <w:pPr>
        <w:numPr>
          <w:ilvl w:val="1"/>
          <w:numId w:val="43"/>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упровадження національної стратегії охорони та використання водних ресурсів України, насамперед з метою забезпечення населення якісною питною водою;</w:t>
      </w:r>
    </w:p>
    <w:p w14:paraId="491DBA77" w14:textId="5CB9A178" w:rsidR="007A6FCB" w:rsidRPr="00D22774" w:rsidRDefault="007A6FCB" w:rsidP="00030A38">
      <w:pPr>
        <w:numPr>
          <w:ilvl w:val="1"/>
          <w:numId w:val="43"/>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удосконалення механізмів управління відходами з урахуванням міжнародних стандартів та нормативів, насамперед, для великих міст і великих промислових об’єктів;</w:t>
      </w:r>
    </w:p>
    <w:p w14:paraId="148736E2" w14:textId="01BEFBAC" w:rsidR="007A6FCB" w:rsidRPr="00D22774" w:rsidRDefault="007A6FCB" w:rsidP="00030A38">
      <w:pPr>
        <w:numPr>
          <w:ilvl w:val="1"/>
          <w:numId w:val="43"/>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вжиття дієвих заходів щодо зменшення забруднення атмосферного повітря, особливо у промислових регіонах;</w:t>
      </w:r>
    </w:p>
    <w:p w14:paraId="225132CD" w14:textId="51B4336B" w:rsidR="007A6FCB" w:rsidRPr="00D22774" w:rsidRDefault="007A6FCB" w:rsidP="00030A38">
      <w:pPr>
        <w:numPr>
          <w:ilvl w:val="1"/>
          <w:numId w:val="43"/>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упровадження інтегрованої системи обліку природних ресурсів з метою їх раціонального використання та відтворення. Перегляд системи дозволів та платежів за використання природних ресурсів.</w:t>
      </w:r>
    </w:p>
    <w:p w14:paraId="2016ACE1" w14:textId="7EAAF660"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Проте «Основні напрями державної політики в галузі охорони навколишнього природного середовища, використання природних ресурсів та забезпечення екологічної безпеки» не відповідають вимогам сьогодення та динаміці глобальних викликів.</w:t>
      </w:r>
    </w:p>
    <w:p w14:paraId="20F2F561" w14:textId="77777777"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По-перше, документ було схвалено в період тривалого економічного спаду в країні.</w:t>
      </w:r>
    </w:p>
    <w:p w14:paraId="0844DF65" w14:textId="29DE3357" w:rsidR="007A6FCB" w:rsidRPr="00D22774" w:rsidRDefault="007A6FCB" w:rsidP="00642FF8">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По-друге, за період, який минув з 1998 р., у світі відбулися значні події міжнародного рівня, що визначили подальший розвиток екологічних стратегій. В Україні спостерігалися суттєві зрушення щодо посилення економічної діяльності. Тому виникла необхідність розроблення нового стратегічного документа на довгострокову перспективу – Стратегії національної екологічної політики України на період до 2020 року, який враховуватиме процеси глобалізації економіки, розвиток у країні ринкових відносин, рішення Київської конференції міністрів навколишньої природного середовища «Довкілля для Європи» (2003 р.), Всесвітнього саміту зі сталого розвитку в Йоганнесбурзі (2002 р.), перспективи вступу України у СОТ, положення низки міжнародних зобов'язань України у сфері охорони навколишнього природного середовища та сприятиме подальшій активній екологізації галузей економіки і сфер діяльності.</w:t>
      </w:r>
    </w:p>
    <w:p w14:paraId="553AEDFF" w14:textId="104FD238"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Згідно зі Стратегією соціально-економічного розвитку до 2020 р. основною метою державної регіональної політики України на сучасному етапі розвитку є створення умов, що дадуть змогу регіонам повністю реалізувати наявний потенціал, зробити максимальний внесок у національну економіку, здобути конкурентні переваги на зовнішньому ринку. Забезпечити виконання цих завдань може лише виважена політика держави та її регіонів у контексті формування сучасної моделі природно-ресурсного менеджменту. На жаль, можна констатувати, що ресурсна домінанта в контексті регіонального розвитку через призму першочергових державних завдань поки що відсутня. </w:t>
      </w:r>
      <w:r w:rsidRPr="00D22774">
        <w:rPr>
          <w:rFonts w:ascii="Times New Roman" w:hAnsi="Times New Roman" w:cs="Times New Roman"/>
          <w:sz w:val="20"/>
          <w:szCs w:val="20"/>
        </w:rPr>
        <w:lastRenderedPageBreak/>
        <w:t>Ці прогалини властиві і Цілям розвитку тисячоліття, особливо українській версії.</w:t>
      </w:r>
    </w:p>
    <w:p w14:paraId="50C93457" w14:textId="6AA28C4A"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Можна констатувати, що в контексті формування Національного плану дій з охорони навколишнього природного середовища на 2011–2015 роки природно-ресурсний менеджмент як стратегічний вектор та складник сучасного екологічного управління залишився без будь-яких сутнісних наповнень. Так, зовсім не приділено уваги таким чинникам, як:</w:t>
      </w:r>
    </w:p>
    <w:p w14:paraId="51E9CC3D" w14:textId="78ECEBE4" w:rsidR="007A6FCB" w:rsidRPr="00D22774" w:rsidRDefault="007A6FCB" w:rsidP="00030A38">
      <w:pPr>
        <w:numPr>
          <w:ilvl w:val="0"/>
          <w:numId w:val="43"/>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інституційні механізми забезпечення збалансованого використання природних ресурсів;</w:t>
      </w:r>
    </w:p>
    <w:p w14:paraId="114D29D0" w14:textId="34227115" w:rsidR="007A6FCB" w:rsidRPr="00D22774" w:rsidRDefault="007A6FCB" w:rsidP="00030A38">
      <w:pPr>
        <w:numPr>
          <w:ilvl w:val="0"/>
          <w:numId w:val="43"/>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посилення важелів відповідальності за їх нераціональне використання та відображення їх у законах прямої дії;</w:t>
      </w:r>
    </w:p>
    <w:p w14:paraId="5849C862" w14:textId="0D90AE05" w:rsidR="007A6FCB" w:rsidRPr="00D22774" w:rsidRDefault="007A6FCB" w:rsidP="00030A38">
      <w:pPr>
        <w:numPr>
          <w:ilvl w:val="0"/>
          <w:numId w:val="43"/>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розроблення організаційно-економічних заходів щодо стимулювання ресурсозбереження на різних ієрархічних рівнях (до речі, ідеологія ресурсозбереження в Плані дій з охорони навколишнього природного середовища України на період 2011-2015 рр. навіть не згадується);</w:t>
      </w:r>
    </w:p>
    <w:p w14:paraId="7594F2E8" w14:textId="0270B1D7" w:rsidR="007A6FCB" w:rsidRPr="00D22774" w:rsidRDefault="007A6FCB" w:rsidP="00030A38">
      <w:pPr>
        <w:numPr>
          <w:ilvl w:val="0"/>
          <w:numId w:val="43"/>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розмежування функцій щодо регулювання  ефективного  використання</w:t>
      </w:r>
      <w:r w:rsidR="00C11F2C" w:rsidRPr="00D22774">
        <w:rPr>
          <w:rFonts w:ascii="Times New Roman" w:hAnsi="Times New Roman" w:cs="Times New Roman"/>
          <w:sz w:val="20"/>
          <w:szCs w:val="20"/>
        </w:rPr>
        <w:t xml:space="preserve"> </w:t>
      </w:r>
      <w:r w:rsidRPr="00D22774">
        <w:rPr>
          <w:rFonts w:ascii="Times New Roman" w:hAnsi="Times New Roman" w:cs="Times New Roman"/>
          <w:sz w:val="20"/>
          <w:szCs w:val="20"/>
        </w:rPr>
        <w:t>природних ресурсів з відповідним фінансовим наповнення бюджетів усіх рівнів;</w:t>
      </w:r>
    </w:p>
    <w:p w14:paraId="6E37B60C" w14:textId="4E95FF4C" w:rsidR="007A6FCB" w:rsidRPr="00D22774" w:rsidRDefault="007A6FCB" w:rsidP="00030A38">
      <w:pPr>
        <w:numPr>
          <w:ilvl w:val="1"/>
          <w:numId w:val="43"/>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законодавчо-нормативна основа формування та стягування природоресурсної ренти та її розподілу між різними гілками влади.</w:t>
      </w:r>
    </w:p>
    <w:p w14:paraId="6A4FEFA8" w14:textId="7732EB99"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Таким чином, можна констатувати, що нормативно-законодавча площина розвитку </w:t>
      </w:r>
      <w:r w:rsidRPr="00D22774">
        <w:rPr>
          <w:rFonts w:ascii="Times New Roman" w:hAnsi="Times New Roman" w:cs="Times New Roman"/>
          <w:b/>
          <w:sz w:val="20"/>
          <w:szCs w:val="20"/>
        </w:rPr>
        <w:t xml:space="preserve">«зеленої» економіки </w:t>
      </w:r>
      <w:r w:rsidRPr="00D22774">
        <w:rPr>
          <w:rFonts w:ascii="Times New Roman" w:hAnsi="Times New Roman" w:cs="Times New Roman"/>
          <w:sz w:val="20"/>
          <w:szCs w:val="20"/>
        </w:rPr>
        <w:t xml:space="preserve">досі залишається розпливчастою та розпорошеною за різними сегментами екологічного управління, тоді як уже є нагальною необхідність виокремити ці питання в самостійний формат, у тому числі щодо державного екологічного моніторингу, який залишається в основному поресурсним і локальним, не набуваючи комплексного характеру. Завдання щодо вдосконалення й розвитку державного </w:t>
      </w:r>
      <w:r w:rsidRPr="00D22774">
        <w:rPr>
          <w:rFonts w:ascii="Times New Roman" w:hAnsi="Times New Roman" w:cs="Times New Roman"/>
          <w:b/>
          <w:sz w:val="20"/>
          <w:szCs w:val="20"/>
        </w:rPr>
        <w:t>екологічного моніторингу</w:t>
      </w:r>
      <w:r w:rsidRPr="00D22774">
        <w:rPr>
          <w:rFonts w:ascii="Times New Roman" w:hAnsi="Times New Roman" w:cs="Times New Roman"/>
          <w:sz w:val="20"/>
          <w:szCs w:val="20"/>
        </w:rPr>
        <w:t xml:space="preserve">, які було визначено в Основних напрямах державної екологічної політики, не виконані. </w:t>
      </w:r>
      <w:r w:rsidRPr="00D22774">
        <w:rPr>
          <w:rFonts w:ascii="Times New Roman" w:hAnsi="Times New Roman" w:cs="Times New Roman"/>
          <w:b/>
          <w:sz w:val="20"/>
          <w:szCs w:val="20"/>
        </w:rPr>
        <w:t xml:space="preserve">Система екологічної паспортизації </w:t>
      </w:r>
      <w:r w:rsidRPr="00D22774">
        <w:rPr>
          <w:rFonts w:ascii="Times New Roman" w:hAnsi="Times New Roman" w:cs="Times New Roman"/>
          <w:sz w:val="20"/>
          <w:szCs w:val="20"/>
        </w:rPr>
        <w:t>підприємств, місць видалення відходів також практично не функціонує в тому обсязі, який визначено чинним законодавством і політикою європейської інтеграції.</w:t>
      </w:r>
    </w:p>
    <w:p w14:paraId="17A9DF45" w14:textId="4B183287"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Щодо вдосконалення національної екологічної інформаційної системи, то вона має бути ідентифікованим системним компонентом як глобальної екоінформаційної мережі, так і національної інформаційної мережі сталого розвитку, здатним забезпечити збір, накопичення, зберігання, упорядкування (систематизацію), оцінку й використання даних під час прийняття рішень на будь-якому рівні: місцевому, регіональному, національному й міжнародному.</w:t>
      </w:r>
    </w:p>
    <w:p w14:paraId="6AE7085F" w14:textId="7E2A4A45"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Одним з ключових кроків до ідентифікації національної екоінформаційної системи є створення національної підсистеми комплексного екологічного й економічного обліку (</w:t>
      </w:r>
      <w:r w:rsidRPr="00D22774">
        <w:rPr>
          <w:rFonts w:ascii="Times New Roman" w:hAnsi="Times New Roman" w:cs="Times New Roman"/>
          <w:b/>
          <w:sz w:val="20"/>
          <w:szCs w:val="20"/>
        </w:rPr>
        <w:t>кеео</w:t>
      </w:r>
      <w:r w:rsidRPr="00D22774">
        <w:rPr>
          <w:rFonts w:ascii="Times New Roman" w:hAnsi="Times New Roman" w:cs="Times New Roman"/>
          <w:sz w:val="20"/>
          <w:szCs w:val="20"/>
        </w:rPr>
        <w:t xml:space="preserve">), мета якої полягає в наданні інформації для інтегральної оцінки ролі навколишнього природного середовища, його екосистем не тільки як джерела природного капіталу й </w:t>
      </w:r>
      <w:r w:rsidRPr="00D22774">
        <w:rPr>
          <w:rFonts w:ascii="Times New Roman" w:hAnsi="Times New Roman" w:cs="Times New Roman"/>
          <w:sz w:val="20"/>
          <w:szCs w:val="20"/>
        </w:rPr>
        <w:lastRenderedPageBreak/>
        <w:t>отримувача побічних продуктів життєдіяьності, але і як джерела життєвих і духовних сил суспільства.</w:t>
      </w:r>
    </w:p>
    <w:p w14:paraId="3C390818" w14:textId="5216B273"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Особливо звертається увага на розроблення показників і включення даних про стан природного середовища (якість повітря, ресурси прісної води, ліса і пасовища, опустелювання, деградація ґрунту, біологічна різноманітність). Діяльність щодо зміцнення інформаційного потенціалу має бути спрямована на зменшення інформаційного розриву й розширення доступу до інформації.</w:t>
      </w:r>
    </w:p>
    <w:p w14:paraId="72F843A0" w14:textId="279ACB27"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У Європейському Союзі поширена мережа Центрів екологічних даних, до функцій яких входить збір, оброблення і зберігання даних, а також надання їх регулятивним органам і громадськості. Такі центри вдосконалюють методи й засоби комплексного (екосистемного) моніторингу у співпраці з Європейським агентством з навколишнього середовища. В Україні найбільшого розвитку набули моніторингові, кадастрові й картографічні, у тому числі ГІС, інформаційні системи. Це закріплено у відповідних законодавчих актах, що стосуються управління окремими природними ресурсами. Проте нормативні, методологічні, науково-технічні й організаційні засади створення цілісної національної системи екологічної інформації в екологічному законодавстві не розвинені. Методологічна база екологічної інформації залишається недосконалою щодо розроблення і прийняття системи інтегральних екосистемних показників й оновлювання бази даних екологічного стану, удосконалення збору й використання даних, методів оцінки та аналізу даних.</w:t>
      </w:r>
    </w:p>
    <w:p w14:paraId="39475932" w14:textId="07D54324"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Між тим національна система екологічного управління має базуватися на структурі </w:t>
      </w:r>
      <w:r w:rsidRPr="00D22774">
        <w:rPr>
          <w:rFonts w:ascii="Times New Roman" w:hAnsi="Times New Roman" w:cs="Times New Roman"/>
          <w:b/>
          <w:sz w:val="20"/>
          <w:szCs w:val="20"/>
        </w:rPr>
        <w:t>інформаційних систем третього покоління</w:t>
      </w:r>
      <w:r w:rsidRPr="00D22774">
        <w:rPr>
          <w:rFonts w:ascii="Times New Roman" w:hAnsi="Times New Roman" w:cs="Times New Roman"/>
          <w:sz w:val="20"/>
          <w:szCs w:val="20"/>
        </w:rPr>
        <w:t xml:space="preserve">, зорієнтованих на комплексний аналіз даних та алгоритмічні моделі вироблення рішень. Ці системи дістали назву </w:t>
      </w:r>
      <w:r w:rsidRPr="00D22774">
        <w:rPr>
          <w:rFonts w:ascii="Times New Roman" w:hAnsi="Times New Roman" w:cs="Times New Roman"/>
          <w:b/>
          <w:sz w:val="20"/>
          <w:szCs w:val="20"/>
        </w:rPr>
        <w:t>“Системи прийняття рішень” (Decision Support Systems)</w:t>
      </w:r>
      <w:r w:rsidRPr="00D22774">
        <w:rPr>
          <w:rFonts w:ascii="Times New Roman" w:hAnsi="Times New Roman" w:cs="Times New Roman"/>
          <w:sz w:val="20"/>
          <w:szCs w:val="20"/>
        </w:rPr>
        <w:t>.</w:t>
      </w:r>
    </w:p>
    <w:p w14:paraId="12DE8635" w14:textId="4854312F" w:rsidR="007A6FCB" w:rsidRPr="00D22774" w:rsidRDefault="007A6FCB" w:rsidP="00D22774">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У цьому напрямку зроблені певні кроки шляхом створення технічних умов упровадження ГІС-технологій електронного картографування в системи екологічного управління. Проблема полягає</w:t>
      </w:r>
      <w:r w:rsidR="00D22774" w:rsidRPr="00D22774">
        <w:rPr>
          <w:rFonts w:ascii="Times New Roman" w:hAnsi="Times New Roman" w:cs="Times New Roman"/>
          <w:sz w:val="20"/>
          <w:szCs w:val="20"/>
        </w:rPr>
        <w:t xml:space="preserve"> </w:t>
      </w:r>
      <w:r w:rsidRPr="00D22774">
        <w:rPr>
          <w:rFonts w:ascii="Times New Roman" w:hAnsi="Times New Roman" w:cs="Times New Roman"/>
          <w:sz w:val="20"/>
          <w:szCs w:val="20"/>
        </w:rPr>
        <w:t>в гальмуванні нарощення потенціалу внаслідок відсутності необхідних законодавчих, організаційних, кадрових та операційних змін.</w:t>
      </w:r>
    </w:p>
    <w:p w14:paraId="7DCF5F64" w14:textId="2A0B319F"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Особливу увагу держава повинна звернути на ініціативні проекти, спрямовані на поліпшення здоров'я населення (якісна питна вода, допомога в навчанні користування екологічно безпечними технологіями у промисловому і сільськогосподарському виробництві, упровадження нових малоенергоємних і маловодних чи безводних технологій тощо).</w:t>
      </w:r>
    </w:p>
    <w:p w14:paraId="178B82C1" w14:textId="6346535F"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Держава повинна заохочувати </w:t>
      </w:r>
      <w:r w:rsidRPr="00D22774">
        <w:rPr>
          <w:rFonts w:ascii="Times New Roman" w:hAnsi="Times New Roman" w:cs="Times New Roman"/>
          <w:b/>
          <w:sz w:val="20"/>
          <w:szCs w:val="20"/>
        </w:rPr>
        <w:t xml:space="preserve">місцеві громади до ініціатив </w:t>
      </w:r>
      <w:r w:rsidRPr="00D22774">
        <w:rPr>
          <w:rFonts w:ascii="Times New Roman" w:hAnsi="Times New Roman" w:cs="Times New Roman"/>
          <w:sz w:val="20"/>
          <w:szCs w:val="20"/>
        </w:rPr>
        <w:t>у природоохоронній сфері наданням пільг інвесторам, які вкладають кошти у виконання проектів екологічного партнерства місцевих громад. На це спрямовані прийнятий у 2017р. Закон України</w:t>
      </w:r>
    </w:p>
    <w:p w14:paraId="5E23F0AA" w14:textId="64B2FA1E" w:rsidR="007A6FCB" w:rsidRPr="00D22774" w:rsidRDefault="007A6FCB" w:rsidP="0012192B">
      <w:pPr>
        <w:adjustRightInd w:val="0"/>
        <w:snapToGrid w:val="0"/>
        <w:spacing w:after="0" w:line="240" w:lineRule="auto"/>
        <w:ind w:firstLine="567"/>
        <w:jc w:val="both"/>
        <w:rPr>
          <w:rFonts w:ascii="Times New Roman" w:hAnsi="Times New Roman" w:cs="Times New Roman"/>
          <w:bCs/>
          <w:sz w:val="20"/>
          <w:szCs w:val="20"/>
        </w:rPr>
      </w:pPr>
      <w:r w:rsidRPr="00D22774">
        <w:rPr>
          <w:rFonts w:ascii="Times New Roman" w:hAnsi="Times New Roman" w:cs="Times New Roman"/>
          <w:b/>
          <w:bCs/>
          <w:sz w:val="20"/>
          <w:szCs w:val="20"/>
        </w:rPr>
        <w:lastRenderedPageBreak/>
        <w:t xml:space="preserve">«Про оцінку впливу на довкілля» та Проект </w:t>
      </w:r>
      <w:r w:rsidR="00D22774" w:rsidRPr="00D22774">
        <w:rPr>
          <w:rFonts w:ascii="Times New Roman" w:hAnsi="Times New Roman" w:cs="Times New Roman"/>
          <w:b/>
          <w:bCs/>
          <w:sz w:val="20"/>
          <w:szCs w:val="20"/>
        </w:rPr>
        <w:t>ЗУ</w:t>
      </w:r>
      <w:r w:rsidRPr="00D22774">
        <w:rPr>
          <w:rFonts w:ascii="Times New Roman" w:hAnsi="Times New Roman" w:cs="Times New Roman"/>
          <w:b/>
          <w:bCs/>
          <w:sz w:val="20"/>
          <w:szCs w:val="20"/>
        </w:rPr>
        <w:t xml:space="preserve"> «Про стратегічну екологічну оцінку»</w:t>
      </w:r>
      <w:r w:rsidRPr="00D22774">
        <w:rPr>
          <w:rFonts w:ascii="Times New Roman" w:hAnsi="Times New Roman" w:cs="Times New Roman"/>
          <w:bCs/>
          <w:sz w:val="20"/>
          <w:szCs w:val="20"/>
        </w:rPr>
        <w:t>.</w:t>
      </w:r>
    </w:p>
    <w:p w14:paraId="23D49FB2" w14:textId="18A70CAA"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Розвиток </w:t>
      </w:r>
      <w:r w:rsidRPr="00D22774">
        <w:rPr>
          <w:rFonts w:ascii="Times New Roman" w:hAnsi="Times New Roman" w:cs="Times New Roman"/>
          <w:b/>
          <w:sz w:val="20"/>
          <w:szCs w:val="20"/>
        </w:rPr>
        <w:t xml:space="preserve">екологічного партнерства </w:t>
      </w:r>
      <w:r w:rsidRPr="00D22774">
        <w:rPr>
          <w:rFonts w:ascii="Times New Roman" w:hAnsi="Times New Roman" w:cs="Times New Roman"/>
          <w:sz w:val="20"/>
          <w:szCs w:val="20"/>
        </w:rPr>
        <w:t>також передбачає реалізацію основних завдань та функцій державно-приватного партнерства, які визначені законодавством України, а саме: рівність перед законом державних та приватних партнерів; заборона будь-якої дискримінації прав державних чи приватних партнерів; узгодження інтересів державних та приватних партнерів з метою отримання взаємної вигоди; незмінність протягом усього строку дії договору, укладеного в рамках державно-приватного партнерства, цільового призначення та форми власності об'єктів, що перебувають у державній або комунальній власності; визнання державними та приватними партнерами прав і обов'язків, передбачених законодавством України та визначених умовами договору, укладеного в рамках державно-приватного партнерства; справедливий розподіл між державним та приватним партнерами ризиків, пов'язаних з виконанням договорів, укладених у рамках державно-приватного партнерства; визначення приват-</w:t>
      </w:r>
    </w:p>
    <w:p w14:paraId="1223F201" w14:textId="4833171D" w:rsidR="007A6FCB" w:rsidRPr="00D22774" w:rsidRDefault="007A6FCB" w:rsidP="00E661DD">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ного партнера на конкурсних засадах, крім випадків, встановлених законом. Для вдосконалення розвитку екологічного партнерства одним з визначальних чинників є участь бізнесу. При цьому, якщо говорити про </w:t>
      </w:r>
      <w:r w:rsidRPr="00D22774">
        <w:rPr>
          <w:rFonts w:ascii="Times New Roman" w:hAnsi="Times New Roman" w:cs="Times New Roman"/>
          <w:b/>
          <w:sz w:val="20"/>
          <w:szCs w:val="20"/>
        </w:rPr>
        <w:t>державну підтримку та заохочення громадськи</w:t>
      </w:r>
      <w:r w:rsidR="00605DD1" w:rsidRPr="00D22774">
        <w:rPr>
          <w:rFonts w:ascii="Times New Roman" w:hAnsi="Times New Roman" w:cs="Times New Roman"/>
          <w:b/>
          <w:sz w:val="20"/>
          <w:szCs w:val="20"/>
        </w:rPr>
        <w:t xml:space="preserve"> </w:t>
      </w:r>
      <w:r w:rsidRPr="00D22774">
        <w:rPr>
          <w:rFonts w:ascii="Times New Roman" w:hAnsi="Times New Roman" w:cs="Times New Roman"/>
          <w:b/>
          <w:sz w:val="20"/>
          <w:szCs w:val="20"/>
        </w:rPr>
        <w:t>організацій</w:t>
      </w:r>
      <w:r w:rsidR="00E661DD">
        <w:rPr>
          <w:rFonts w:ascii="Times New Roman" w:hAnsi="Times New Roman" w:cs="Times New Roman"/>
          <w:b/>
          <w:sz w:val="20"/>
          <w:szCs w:val="20"/>
        </w:rPr>
        <w:t xml:space="preserve"> </w:t>
      </w:r>
      <w:r w:rsidRPr="00D22774">
        <w:rPr>
          <w:rFonts w:ascii="Times New Roman" w:hAnsi="Times New Roman" w:cs="Times New Roman"/>
          <w:b/>
          <w:sz w:val="20"/>
          <w:szCs w:val="20"/>
        </w:rPr>
        <w:t>та</w:t>
      </w:r>
      <w:r w:rsidR="00E661DD">
        <w:rPr>
          <w:rFonts w:ascii="Times New Roman" w:hAnsi="Times New Roman" w:cs="Times New Roman"/>
          <w:b/>
          <w:sz w:val="20"/>
          <w:szCs w:val="20"/>
        </w:rPr>
        <w:t xml:space="preserve"> </w:t>
      </w:r>
      <w:r w:rsidRPr="00D22774">
        <w:rPr>
          <w:rFonts w:ascii="Times New Roman" w:hAnsi="Times New Roman" w:cs="Times New Roman"/>
          <w:b/>
          <w:sz w:val="20"/>
          <w:szCs w:val="20"/>
        </w:rPr>
        <w:t xml:space="preserve">бізнес-сектору, то доцільно  </w:t>
      </w:r>
      <w:r w:rsidRPr="00D22774">
        <w:rPr>
          <w:rFonts w:ascii="Times New Roman" w:hAnsi="Times New Roman" w:cs="Times New Roman"/>
          <w:sz w:val="20"/>
          <w:szCs w:val="20"/>
        </w:rPr>
        <w:t>використовувати</w:t>
      </w:r>
      <w:r w:rsidR="00E661DD">
        <w:rPr>
          <w:rFonts w:ascii="Times New Roman" w:hAnsi="Times New Roman" w:cs="Times New Roman"/>
          <w:sz w:val="20"/>
          <w:szCs w:val="20"/>
        </w:rPr>
        <w:t xml:space="preserve"> </w:t>
      </w:r>
      <w:r w:rsidRPr="00D22774">
        <w:rPr>
          <w:rFonts w:ascii="Times New Roman" w:hAnsi="Times New Roman" w:cs="Times New Roman"/>
          <w:sz w:val="20"/>
          <w:szCs w:val="20"/>
        </w:rPr>
        <w:t>такий сценарій:</w:t>
      </w:r>
    </w:p>
    <w:p w14:paraId="0807D1A1" w14:textId="77777777" w:rsidR="007A6FCB" w:rsidRPr="00D22774" w:rsidRDefault="007A6FCB" w:rsidP="00030A38">
      <w:pPr>
        <w:numPr>
          <w:ilvl w:val="0"/>
          <w:numId w:val="42"/>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створювати дискусійні групи на ранніх стадіях розроблення проектів екологічного партнерства;</w:t>
      </w:r>
    </w:p>
    <w:p w14:paraId="2F01C8FC" w14:textId="0C96E7CE" w:rsidR="007A6FCB" w:rsidRPr="00D22774" w:rsidRDefault="007A6FCB" w:rsidP="00030A38">
      <w:pPr>
        <w:numPr>
          <w:ilvl w:val="0"/>
          <w:numId w:val="42"/>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забезпечувати прозорість у співпраці з громадськістю та бізнесом під час розгляду й реалізації проектів екологічного партнерства;</w:t>
      </w:r>
    </w:p>
    <w:p w14:paraId="72882790" w14:textId="14477586" w:rsidR="007A6FCB" w:rsidRPr="00D22774" w:rsidRDefault="007A6FCB" w:rsidP="00030A38">
      <w:pPr>
        <w:numPr>
          <w:ilvl w:val="0"/>
          <w:numId w:val="42"/>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посилювати комунікації та підтримувати двосторонній зв'язок.</w:t>
      </w:r>
    </w:p>
    <w:p w14:paraId="6C62AC1B" w14:textId="078F939C"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На сучасному етапі й надалі передбачається вдосконалення екологічного законодавства щодо застосування Стратегічної екологічної оцінки (СЕО) як обов'язкового інструмента стратегічного планування розвитку соціальноекономічної політики на національному, регіональному та місцевому рівнях. Посилення</w:t>
      </w:r>
      <w:r w:rsidR="009C2BC3">
        <w:rPr>
          <w:rFonts w:ascii="Times New Roman" w:hAnsi="Times New Roman" w:cs="Times New Roman"/>
          <w:sz w:val="20"/>
          <w:szCs w:val="20"/>
        </w:rPr>
        <w:t xml:space="preserve"> </w:t>
      </w:r>
      <w:r w:rsidRPr="00D22774">
        <w:rPr>
          <w:rFonts w:ascii="Times New Roman" w:hAnsi="Times New Roman" w:cs="Times New Roman"/>
          <w:sz w:val="20"/>
          <w:szCs w:val="20"/>
        </w:rPr>
        <w:t>соціально-економічного розвитку Центральноєвропейського та Східноєвропейського регіонів робить СЕО важливим інструментом оцінки впливу на навколишнє природне середовище, зокрема у транскордонному контексті.</w:t>
      </w:r>
    </w:p>
    <w:p w14:paraId="20717E1F" w14:textId="5BCEB8C3"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Отже, для створення комплексних (правових, організаційних, науковоосвітніх, ресурсних, партнерських тощо) умов </w:t>
      </w:r>
      <w:r w:rsidRPr="00D22774">
        <w:rPr>
          <w:rFonts w:ascii="Times New Roman" w:hAnsi="Times New Roman" w:cs="Times New Roman"/>
          <w:b/>
          <w:sz w:val="20"/>
          <w:szCs w:val="20"/>
        </w:rPr>
        <w:t xml:space="preserve">зміцнення екологічного партнерства </w:t>
      </w:r>
      <w:r w:rsidRPr="00D22774">
        <w:rPr>
          <w:rFonts w:ascii="Times New Roman" w:hAnsi="Times New Roman" w:cs="Times New Roman"/>
          <w:sz w:val="20"/>
          <w:szCs w:val="20"/>
        </w:rPr>
        <w:t xml:space="preserve">необхідно розробити, прийняти на законодавчому рівні і відповідно створити національну систему екологічного управління </w:t>
      </w:r>
      <w:r w:rsidRPr="00D22774">
        <w:rPr>
          <w:rFonts w:ascii="Times New Roman" w:hAnsi="Times New Roman" w:cs="Times New Roman"/>
          <w:b/>
          <w:sz w:val="20"/>
          <w:szCs w:val="20"/>
        </w:rPr>
        <w:t>згідно з європейськими й міжнародними стандартами</w:t>
      </w:r>
      <w:r w:rsidRPr="00D22774">
        <w:rPr>
          <w:rFonts w:ascii="Times New Roman" w:hAnsi="Times New Roman" w:cs="Times New Roman"/>
          <w:sz w:val="20"/>
          <w:szCs w:val="20"/>
        </w:rPr>
        <w:t>, тим самим гармонізувати національне і європейське екологічне законодавство, нормативно-правову базу.</w:t>
      </w:r>
    </w:p>
    <w:p w14:paraId="2D496B81" w14:textId="03E514FE" w:rsidR="007A6FCB" w:rsidRPr="00D22774" w:rsidRDefault="007A6FCB" w:rsidP="005D1D04">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Між тим прискорений вихід з еколого-економічної кризи й подальше економічне зростання можливі лише при подальшій активізації законодавчо</w:t>
      </w:r>
      <w:r w:rsidR="009C2BC3">
        <w:rPr>
          <w:rFonts w:ascii="Times New Roman" w:hAnsi="Times New Roman" w:cs="Times New Roman"/>
          <w:sz w:val="20"/>
          <w:szCs w:val="20"/>
        </w:rPr>
        <w:t>-</w:t>
      </w:r>
      <w:r w:rsidRPr="00D22774">
        <w:rPr>
          <w:rFonts w:ascii="Times New Roman" w:hAnsi="Times New Roman" w:cs="Times New Roman"/>
          <w:sz w:val="20"/>
          <w:szCs w:val="20"/>
        </w:rPr>
        <w:lastRenderedPageBreak/>
        <w:t>нормативних регламентів у контексті розвитку «зеленої» економіки. Мова йде</w:t>
      </w:r>
      <w:r w:rsidR="005D1D04" w:rsidRPr="00D22774">
        <w:rPr>
          <w:rFonts w:ascii="Times New Roman" w:hAnsi="Times New Roman" w:cs="Times New Roman"/>
          <w:sz w:val="20"/>
          <w:szCs w:val="20"/>
        </w:rPr>
        <w:t xml:space="preserve"> </w:t>
      </w:r>
      <w:r w:rsidRPr="00D22774">
        <w:rPr>
          <w:rFonts w:ascii="Times New Roman" w:hAnsi="Times New Roman" w:cs="Times New Roman"/>
          <w:sz w:val="20"/>
          <w:szCs w:val="20"/>
        </w:rPr>
        <w:t>про прийняття Концепції та Стратегії</w:t>
      </w:r>
    </w:p>
    <w:p w14:paraId="74ADEF0E" w14:textId="0FB2A831"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«зеленого» зростання в Україні, імплементацію курсу «зеленої» економіки в наявні регламенти державної та міждержавної політики.</w:t>
      </w:r>
    </w:p>
    <w:p w14:paraId="4FB8D8F5" w14:textId="53EB0E55" w:rsidR="007A6FCB" w:rsidRPr="00D22774" w:rsidRDefault="007A6FCB" w:rsidP="0012192B">
      <w:pPr>
        <w:adjustRightInd w:val="0"/>
        <w:snapToGrid w:val="0"/>
        <w:spacing w:after="0" w:line="240" w:lineRule="auto"/>
        <w:ind w:firstLine="567"/>
        <w:jc w:val="both"/>
        <w:rPr>
          <w:rFonts w:ascii="Times New Roman" w:hAnsi="Times New Roman" w:cs="Times New Roman"/>
          <w:bCs/>
          <w:sz w:val="20"/>
          <w:szCs w:val="20"/>
        </w:rPr>
      </w:pPr>
      <w:r w:rsidRPr="00D22774">
        <w:rPr>
          <w:rFonts w:ascii="Times New Roman" w:hAnsi="Times New Roman" w:cs="Times New Roman"/>
          <w:b/>
          <w:bCs/>
          <w:sz w:val="20"/>
          <w:szCs w:val="20"/>
        </w:rPr>
        <w:t>конкретними цілями в цьому контексті відповідно до природоохоронного законодавства є</w:t>
      </w:r>
      <w:r w:rsidRPr="00D22774">
        <w:rPr>
          <w:rFonts w:ascii="Times New Roman" w:hAnsi="Times New Roman" w:cs="Times New Roman"/>
          <w:bCs/>
          <w:sz w:val="20"/>
          <w:szCs w:val="20"/>
        </w:rPr>
        <w:t>:</w:t>
      </w:r>
    </w:p>
    <w:p w14:paraId="01680600" w14:textId="7EAC66AD" w:rsidR="007A6FCB" w:rsidRPr="00D22774" w:rsidRDefault="007A6FCB" w:rsidP="00030A38">
      <w:pPr>
        <w:numPr>
          <w:ilvl w:val="0"/>
          <w:numId w:val="41"/>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охорона навколишнього середовища – створення умов життя для громадян у якісному (екологічно чистому) довкіллі і збереження всіх компонентів природного середовища (повітря, землі, води); захист і відновлення біологічного та ландшафтного різноманіття; розвиток екологічних мереж і заповідної справи;</w:t>
      </w:r>
    </w:p>
    <w:p w14:paraId="0EBADD0F" w14:textId="3D4D1FEE" w:rsidR="007A6FCB" w:rsidRPr="00D22774" w:rsidRDefault="007A6FCB" w:rsidP="00030A38">
      <w:pPr>
        <w:numPr>
          <w:ilvl w:val="0"/>
          <w:numId w:val="41"/>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раціональне використання природних ресурсів – створення умов для ефективного природокористування на основі дотримання національних інтересів та збереження природного середовища для майбутніх поколінь;</w:t>
      </w:r>
    </w:p>
    <w:p w14:paraId="31BF3EA0" w14:textId="1D519DDD" w:rsidR="007A6FCB" w:rsidRPr="00D22774" w:rsidRDefault="007A6FCB" w:rsidP="00030A38">
      <w:pPr>
        <w:numPr>
          <w:ilvl w:val="0"/>
          <w:numId w:val="41"/>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забезпечення екологічної безпеки – запобігання потенційним загрозам нормальній життєдіяльності суспільства від небезпечного антропогенного впливу на довкілля; охорона життя і здоров'я громадян від стихійних сил природи та формування національної безпеки держави в умовах наявної екологічної кризи;</w:t>
      </w:r>
    </w:p>
    <w:p w14:paraId="6EABB32A" w14:textId="307360C8" w:rsidR="007A6FCB" w:rsidRPr="00D22774" w:rsidRDefault="007A6FCB" w:rsidP="00030A38">
      <w:pPr>
        <w:numPr>
          <w:ilvl w:val="0"/>
          <w:numId w:val="41"/>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еколого-економічний розвиток – реалізація екологічного імперативу розвитку господарства, формування соціально орієнтованої ринкової економіки, яка гарантуватиме громадянам високу якість життя та екологічно безпечне довкілля;</w:t>
      </w:r>
    </w:p>
    <w:p w14:paraId="4C0554BF" w14:textId="112099B9" w:rsidR="007A6FCB" w:rsidRPr="00D22774" w:rsidRDefault="007A6FCB" w:rsidP="00030A38">
      <w:pPr>
        <w:numPr>
          <w:ilvl w:val="0"/>
          <w:numId w:val="41"/>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соціально-екологічна справедливість – встановлення гарантій рівності прав громадян і держави у сфері екології, досягнення матеріального й соціального добробуту населення, підвищення екологічної культури та дотримання екологічного правопорядку .</w:t>
      </w:r>
    </w:p>
    <w:p w14:paraId="0390F6A3" w14:textId="6F0A9438"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Водночас неузгодженість темпів економічного розвитку й вимог екологічної безпеки, домінування ресурсомістких галузей, висока питома вага ресурсо</w:t>
      </w:r>
      <w:r w:rsidR="009C2BC3">
        <w:rPr>
          <w:rFonts w:ascii="Times New Roman" w:hAnsi="Times New Roman" w:cs="Times New Roman"/>
          <w:sz w:val="20"/>
          <w:szCs w:val="20"/>
        </w:rPr>
        <w:t xml:space="preserve"> </w:t>
      </w:r>
      <w:r w:rsidRPr="00D22774">
        <w:rPr>
          <w:rFonts w:ascii="Times New Roman" w:hAnsi="Times New Roman" w:cs="Times New Roman"/>
          <w:sz w:val="20"/>
          <w:szCs w:val="20"/>
        </w:rPr>
        <w:t>і енергоємних застарілих технологій, сировинна орієнтація експорту, мілітаризація виробництва, відсутність гуманістичних цінностей серед пріоритетів розвитку, а також культури праці і споживання, призводять до поглиблення кризового стану в економіці, погіршення стану довкілля, що створює реальну загрозу життю й діяльності сучасних і майбутніх поколінь.</w:t>
      </w:r>
    </w:p>
    <w:p w14:paraId="6B52771F" w14:textId="2156BE1B"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Важливе місце в реалізації цих завдань займає імплементація директив та регламентів </w:t>
      </w:r>
      <w:r w:rsidRPr="00D22774">
        <w:rPr>
          <w:rFonts w:ascii="Times New Roman" w:hAnsi="Times New Roman" w:cs="Times New Roman"/>
          <w:b/>
          <w:sz w:val="20"/>
          <w:szCs w:val="20"/>
        </w:rPr>
        <w:t>Угоди у сфері довкілля «Україна-ЄС» (додаток 1)</w:t>
      </w:r>
      <w:r w:rsidRPr="00D22774">
        <w:rPr>
          <w:rFonts w:ascii="Times New Roman" w:hAnsi="Times New Roman" w:cs="Times New Roman"/>
          <w:sz w:val="20"/>
          <w:szCs w:val="20"/>
        </w:rPr>
        <w:t xml:space="preserve">. Упродовж останніх років основна увага була зосереджена на сфері управління довкіллям та інтеграції екологічної політики в інші галузеві політики, зокрема, щодо впровадження в Україні </w:t>
      </w:r>
      <w:r w:rsidRPr="00D22774">
        <w:rPr>
          <w:rFonts w:ascii="Times New Roman" w:hAnsi="Times New Roman" w:cs="Times New Roman"/>
          <w:b/>
          <w:sz w:val="20"/>
          <w:szCs w:val="20"/>
        </w:rPr>
        <w:t xml:space="preserve">інструментів Сео </w:t>
      </w:r>
      <w:r w:rsidRPr="00D22774">
        <w:rPr>
          <w:rFonts w:ascii="Times New Roman" w:hAnsi="Times New Roman" w:cs="Times New Roman"/>
          <w:sz w:val="20"/>
          <w:szCs w:val="20"/>
        </w:rPr>
        <w:t xml:space="preserve">та </w:t>
      </w:r>
      <w:r w:rsidRPr="00D22774">
        <w:rPr>
          <w:rFonts w:ascii="Times New Roman" w:hAnsi="Times New Roman" w:cs="Times New Roman"/>
          <w:b/>
          <w:sz w:val="20"/>
          <w:szCs w:val="20"/>
        </w:rPr>
        <w:t>оВд</w:t>
      </w:r>
      <w:r w:rsidRPr="00D22774">
        <w:rPr>
          <w:rFonts w:ascii="Times New Roman" w:hAnsi="Times New Roman" w:cs="Times New Roman"/>
          <w:sz w:val="20"/>
          <w:szCs w:val="20"/>
        </w:rPr>
        <w:t>. Найбільш успішним в цьому руслі є прийняття законодавчих змін щодо інтегрованого управління водними ресурсами за басейновим принципом та реформування сфери відходів на основі розроблення Національної стратегії поводження з відходами.</w:t>
      </w:r>
    </w:p>
    <w:p w14:paraId="4E072585" w14:textId="7D764F71" w:rsidR="007A6FCB" w:rsidRPr="00D22774" w:rsidRDefault="007A6FCB" w:rsidP="005D1D04">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lastRenderedPageBreak/>
        <w:t>При цьому всі реформи, які спрямовані на наближення законодавства України до права ЄС у сфері охорони довкілля, ураховуючи децентралізацію, мають регіональний характер. Це передбачає широке залучення місцевих органів влади до вироблення політики та законодавства з тих питань, щодо яких у них є повноваження. При цьому імплементація екологічного складника Угоди про асоціацію між Україною та ЄС має бути підпорядкована досягненню цілей реформування екологічного врядування з метою покращання</w:t>
      </w:r>
      <w:r w:rsidR="005D1D04" w:rsidRPr="00D22774">
        <w:rPr>
          <w:rFonts w:ascii="Times New Roman" w:hAnsi="Times New Roman" w:cs="Times New Roman"/>
          <w:sz w:val="20"/>
          <w:szCs w:val="20"/>
        </w:rPr>
        <w:t xml:space="preserve"> </w:t>
      </w:r>
      <w:r w:rsidRPr="00D22774">
        <w:rPr>
          <w:rFonts w:ascii="Times New Roman" w:hAnsi="Times New Roman" w:cs="Times New Roman"/>
          <w:sz w:val="20"/>
          <w:szCs w:val="20"/>
        </w:rPr>
        <w:t>стану та підвищення ступеня захисту довкілля України та її регіонів.</w:t>
      </w:r>
    </w:p>
    <w:p w14:paraId="03373F4E" w14:textId="21F44763"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b/>
          <w:i/>
          <w:sz w:val="20"/>
          <w:szCs w:val="20"/>
        </w:rPr>
        <w:t xml:space="preserve">Імплементація міжнародного досвіду. </w:t>
      </w:r>
      <w:r w:rsidRPr="00D22774">
        <w:rPr>
          <w:rFonts w:ascii="Times New Roman" w:hAnsi="Times New Roman" w:cs="Times New Roman"/>
          <w:sz w:val="20"/>
          <w:szCs w:val="20"/>
        </w:rPr>
        <w:t xml:space="preserve">У своєму розвитку Україна вже пройшла необхідний перший етап – становлення незалежної держави, первинного формування демократичних інститутів і ринкової економіки. Водночас на тлі перетворень, яких зазнали інші країни (у тому числі країни Центральної та Східної Європи, окремі колишні радянські республіки), варто визнати, що побудовані в Україні політична та економічна система є малоефективними. Причина цього – </w:t>
      </w:r>
      <w:r w:rsidRPr="00D22774">
        <w:rPr>
          <w:rFonts w:ascii="Times New Roman" w:hAnsi="Times New Roman" w:cs="Times New Roman"/>
          <w:b/>
          <w:sz w:val="20"/>
          <w:szCs w:val="20"/>
        </w:rPr>
        <w:t>відсутність цілої низки інституційних та структурних реформ</w:t>
      </w:r>
      <w:r w:rsidRPr="00D22774">
        <w:rPr>
          <w:rFonts w:ascii="Times New Roman" w:hAnsi="Times New Roman" w:cs="Times New Roman"/>
          <w:sz w:val="20"/>
          <w:szCs w:val="20"/>
        </w:rPr>
        <w:t>, які були більш-менш успішно реалізовані іншими країнами.</w:t>
      </w:r>
    </w:p>
    <w:p w14:paraId="79843A98" w14:textId="0D51842A"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При цьому міжнародна співпраця повинна стати домінантною рисою й рушійною силою екологічних реформ у загальному європейському просторі. Успішність здійснюваних трансформаційних процесів дозволила перенести головну увагу процесу </w:t>
      </w:r>
      <w:r w:rsidRPr="00D22774">
        <w:rPr>
          <w:rFonts w:ascii="Times New Roman" w:hAnsi="Times New Roman" w:cs="Times New Roman"/>
          <w:b/>
          <w:sz w:val="20"/>
          <w:szCs w:val="20"/>
        </w:rPr>
        <w:t xml:space="preserve">«довкілля для Європи» </w:t>
      </w:r>
      <w:r w:rsidRPr="00D22774">
        <w:rPr>
          <w:rFonts w:ascii="Times New Roman" w:hAnsi="Times New Roman" w:cs="Times New Roman"/>
          <w:sz w:val="20"/>
          <w:szCs w:val="20"/>
        </w:rPr>
        <w:t>з підтримки західними країнами своїх східних сусідів до процесу спільного прийняття рішень у пан’європейському контексті, що мало своїм результатом прийняття великої кількості конвенцій та пан’європейських стратегій.</w:t>
      </w:r>
    </w:p>
    <w:p w14:paraId="60C8E051" w14:textId="2119BC67"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На</w:t>
      </w:r>
      <w:r w:rsidR="009C2BC3">
        <w:rPr>
          <w:rFonts w:ascii="Times New Roman" w:hAnsi="Times New Roman" w:cs="Times New Roman"/>
          <w:sz w:val="20"/>
          <w:szCs w:val="20"/>
        </w:rPr>
        <w:t xml:space="preserve"> </w:t>
      </w:r>
      <w:r w:rsidRPr="00D22774">
        <w:rPr>
          <w:rFonts w:ascii="Times New Roman" w:hAnsi="Times New Roman" w:cs="Times New Roman"/>
          <w:sz w:val="20"/>
          <w:szCs w:val="20"/>
        </w:rPr>
        <w:t>Всесвітньому</w:t>
      </w:r>
      <w:r w:rsidR="009C2BC3">
        <w:rPr>
          <w:rFonts w:ascii="Times New Roman" w:hAnsi="Times New Roman" w:cs="Times New Roman"/>
          <w:sz w:val="20"/>
          <w:szCs w:val="20"/>
        </w:rPr>
        <w:t xml:space="preserve"> </w:t>
      </w:r>
      <w:r w:rsidRPr="00D22774">
        <w:rPr>
          <w:rFonts w:ascii="Times New Roman" w:hAnsi="Times New Roman" w:cs="Times New Roman"/>
          <w:sz w:val="20"/>
          <w:szCs w:val="20"/>
        </w:rPr>
        <w:t>саміті</w:t>
      </w:r>
      <w:r w:rsidR="009C2BC3">
        <w:rPr>
          <w:rFonts w:ascii="Times New Roman" w:hAnsi="Times New Roman" w:cs="Times New Roman"/>
          <w:sz w:val="20"/>
          <w:szCs w:val="20"/>
        </w:rPr>
        <w:t xml:space="preserve"> </w:t>
      </w:r>
      <w:r w:rsidRPr="00D22774">
        <w:rPr>
          <w:rFonts w:ascii="Times New Roman" w:hAnsi="Times New Roman" w:cs="Times New Roman"/>
          <w:sz w:val="20"/>
          <w:szCs w:val="20"/>
        </w:rPr>
        <w:t>в Йоганнесбурзі розвинені країни підтвердили свою прихильність до ідеї сталого розвитку і свої зобов’язання щодо їх досягнення, визначені в Декларації Тисячоліття. Конференція в Ріо-де</w:t>
      </w:r>
      <w:r w:rsidR="00732FA2">
        <w:rPr>
          <w:rFonts w:ascii="Times New Roman" w:hAnsi="Times New Roman" w:cs="Times New Roman"/>
          <w:sz w:val="20"/>
          <w:szCs w:val="20"/>
        </w:rPr>
        <w:t>-</w:t>
      </w:r>
      <w:r w:rsidR="00BC0EA6">
        <w:rPr>
          <w:rFonts w:ascii="Times New Roman" w:hAnsi="Times New Roman" w:cs="Times New Roman"/>
          <w:sz w:val="20"/>
          <w:szCs w:val="20"/>
        </w:rPr>
        <w:t xml:space="preserve"> </w:t>
      </w:r>
      <w:r w:rsidRPr="00D22774">
        <w:rPr>
          <w:rFonts w:ascii="Times New Roman" w:hAnsi="Times New Roman" w:cs="Times New Roman"/>
          <w:sz w:val="20"/>
          <w:szCs w:val="20"/>
        </w:rPr>
        <w:t xml:space="preserve">Жанейро і Саміт у Йоганнесбурзі остаточно окреслили намір усього людства перейти до іншої </w:t>
      </w:r>
      <w:r w:rsidRPr="00D22774">
        <w:rPr>
          <w:rFonts w:ascii="Times New Roman" w:hAnsi="Times New Roman" w:cs="Times New Roman"/>
          <w:b/>
          <w:sz w:val="20"/>
          <w:szCs w:val="20"/>
        </w:rPr>
        <w:t>парадигми розвитку – «зеленої» економіки</w:t>
      </w:r>
      <w:r w:rsidRPr="00D22774">
        <w:rPr>
          <w:rFonts w:ascii="Times New Roman" w:hAnsi="Times New Roman" w:cs="Times New Roman"/>
          <w:sz w:val="20"/>
          <w:szCs w:val="20"/>
        </w:rPr>
        <w:t>, ключовими цілями якої є інтенсивний і збалансований поступ економіки та відповідальне управління навколишнім середовищем (Додаток 3). Україна на Саміті теж підтвердила, що її національний шлях розвитку буде відповідати принципам, проголошеним у Порядку денному на</w:t>
      </w:r>
    </w:p>
    <w:p w14:paraId="15526104" w14:textId="7980F5A5"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XXI століття. Для України успішність реалізації її національного шляху соціально-економічного розвитку сьогодні</w:t>
      </w:r>
    </w:p>
    <w:p w14:paraId="146084E9" w14:textId="077F7C98"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перебуває у відчутній залежності від вибору ефективної структури системи необхідних інституцій. Проте першочерговим завданням на національному рівні є досягнення розуміння на всіх рівнях державного управління, що </w:t>
      </w:r>
      <w:r w:rsidRPr="00D22774">
        <w:rPr>
          <w:rFonts w:ascii="Times New Roman" w:hAnsi="Times New Roman" w:cs="Times New Roman"/>
          <w:b/>
          <w:sz w:val="20"/>
          <w:szCs w:val="20"/>
        </w:rPr>
        <w:t>стратегія сталого розвитку є загальновизнаною і необхідною стратегією розвитку у XXI столітті</w:t>
      </w:r>
      <w:r w:rsidRPr="00D22774">
        <w:rPr>
          <w:rFonts w:ascii="Times New Roman" w:hAnsi="Times New Roman" w:cs="Times New Roman"/>
          <w:sz w:val="20"/>
          <w:szCs w:val="20"/>
        </w:rPr>
        <w:t>.</w:t>
      </w:r>
    </w:p>
    <w:p w14:paraId="55D7A9CC" w14:textId="7298D067"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Отже, сьогодні суспільство має реальну можливість змінити негативні тенденції й почати радикальне поглиблення ринкових реформ з урахуванням </w:t>
      </w:r>
      <w:r w:rsidRPr="00D22774">
        <w:rPr>
          <w:rFonts w:ascii="Times New Roman" w:hAnsi="Times New Roman" w:cs="Times New Roman"/>
          <w:b/>
          <w:sz w:val="20"/>
          <w:szCs w:val="20"/>
        </w:rPr>
        <w:lastRenderedPageBreak/>
        <w:t>екологічного фактора</w:t>
      </w:r>
      <w:r w:rsidRPr="00D22774">
        <w:rPr>
          <w:rFonts w:ascii="Times New Roman" w:hAnsi="Times New Roman" w:cs="Times New Roman"/>
          <w:sz w:val="20"/>
          <w:szCs w:val="20"/>
        </w:rPr>
        <w:t>. Це передбачає реалізацію політики цілеспрямованого забезпечення розвитку ефективних вітчизняних виробництв; становлення національного екокапіталу; активної підтримки створення в Україні сучасної конкурентноздатної еколого безпечної економіки. Її формування на сучасному етапі вимагає підвищення ролі держави із залученням усього арсеналу ринкових інструментів, при одночасному активному здійсненні інституціональних перетворень, спрямованих на підвищення ефективності й конкурентноздатності вітчизняних підприємств за рахунок заохочення їх конкуренції на внутрішньому ринку і прагнення вийти в лідери на світовому; контролю за діяльністю природних монополій, сприяння адаптації міжнародних вимог щодо оздоровлення навколишнього природного середовища та втілення їх в національних природоохоронних стандартах.</w:t>
      </w:r>
    </w:p>
    <w:p w14:paraId="4D99D811" w14:textId="4BDD8112"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b/>
          <w:sz w:val="20"/>
          <w:szCs w:val="20"/>
        </w:rPr>
        <w:t xml:space="preserve">критерієм розвитку суспільства </w:t>
      </w:r>
      <w:r w:rsidRPr="00D22774">
        <w:rPr>
          <w:rFonts w:ascii="Times New Roman" w:hAnsi="Times New Roman" w:cs="Times New Roman"/>
          <w:sz w:val="20"/>
          <w:szCs w:val="20"/>
        </w:rPr>
        <w:t>має стати не поточний приріст обсягів виробництва, а потенціал його зростання в умовах збереження й переходу до прискореного поліпшення якісних показників навколишнього природного середовища, що є підґрунтям національної конкурентоспроможності та «зеленого» зростання економіки та державності України.</w:t>
      </w:r>
    </w:p>
    <w:p w14:paraId="4051AE15" w14:textId="2BBFF8EE" w:rsidR="007A6FCB" w:rsidRPr="00D22774" w:rsidRDefault="007A6FCB" w:rsidP="00CB251C">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Одночасно має трансформуватися і власне нормотворчість, спрямована, передусім, на системне правове забезпечення економіки України на шляху інтеграції у світовий еколого-економічний простір. Основну увагу при цьому необхідно сфокусувати на законодавчому режимі й конкретизації основ регіоналізації відносно створення ефективних регулюючих та заохочувальних механізмів збереження довкілля.</w:t>
      </w:r>
    </w:p>
    <w:p w14:paraId="18902EA7" w14:textId="06C91F21"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b/>
          <w:sz w:val="20"/>
          <w:szCs w:val="20"/>
        </w:rPr>
        <w:t xml:space="preserve">деградація довкілля та екологічні ризики. </w:t>
      </w:r>
      <w:r w:rsidRPr="00D22774">
        <w:rPr>
          <w:rFonts w:ascii="Times New Roman" w:hAnsi="Times New Roman" w:cs="Times New Roman"/>
          <w:sz w:val="20"/>
          <w:szCs w:val="20"/>
        </w:rPr>
        <w:t xml:space="preserve">В останні роки погіршення стану навколишнього середовища стало реально впливати на якість життя населення, лімітувати можливості соціального та економічного розвитку великих промислових регіонів і міст. </w:t>
      </w:r>
      <w:r w:rsidRPr="00D22774">
        <w:rPr>
          <w:rFonts w:ascii="Times New Roman" w:hAnsi="Times New Roman" w:cs="Times New Roman"/>
          <w:b/>
          <w:sz w:val="20"/>
          <w:szCs w:val="20"/>
        </w:rPr>
        <w:t xml:space="preserve">антропогенне й техногенне навантаження </w:t>
      </w:r>
      <w:r w:rsidRPr="00D22774">
        <w:rPr>
          <w:rFonts w:ascii="Times New Roman" w:hAnsi="Times New Roman" w:cs="Times New Roman"/>
          <w:sz w:val="20"/>
          <w:szCs w:val="20"/>
        </w:rPr>
        <w:t>на навколишнє природне середовище в кілька разів перевищує відповідні показники в розвинених країнах світу і продовжує зростати. За ступенем забруднення й деградації навколишнього природного середовища Україна займає одне з перших місць у країнах СНД. Якщо за офіційними оцінками у 2010 р. близько 15% території України з населенням більше 10 млн чоловік перебувало в критичному екологічному стані6, то на сьогодні цей рівень зріс у декілька раз. Варто констатувати, що Україна – найбільш розорювана держава Європи (55% території країни).</w:t>
      </w:r>
    </w:p>
    <w:p w14:paraId="6E5A7A08" w14:textId="6B18CDFC"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Україна, яка займає всього 0,4 % земної суші і де проживає 0,8 % населення планети, має у своїх надрах 5 % мінерально-сировинного потенціалу світу. В Україні розвідано 20 тис. родовищ та складів 111 видів корисних копалин (за даними УНІАН – 200 видів корисних копалин, 120 з яких використовує людство сьогодні).</w:t>
      </w:r>
    </w:p>
    <w:p w14:paraId="40FE2FFA" w14:textId="25A4274E" w:rsidR="007A6FCB" w:rsidRPr="00D22774" w:rsidRDefault="007A6FCB" w:rsidP="0059234C">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За останні 25 років площа еродованих земель досягла 10,2 млн га (близько 30% сільгоспугідь)7. На всій території України поширені процеси </w:t>
      </w:r>
      <w:r w:rsidRPr="00D22774">
        <w:rPr>
          <w:rFonts w:ascii="Times New Roman" w:hAnsi="Times New Roman" w:cs="Times New Roman"/>
          <w:sz w:val="20"/>
          <w:szCs w:val="20"/>
        </w:rPr>
        <w:lastRenderedPageBreak/>
        <w:t>деградації</w:t>
      </w:r>
      <w:r w:rsidR="0059234C" w:rsidRPr="00C37F1C">
        <w:rPr>
          <w:rFonts w:ascii="Times New Roman" w:hAnsi="Times New Roman" w:cs="Times New Roman"/>
          <w:sz w:val="20"/>
          <w:szCs w:val="20"/>
        </w:rPr>
        <w:t xml:space="preserve"> </w:t>
      </w:r>
      <w:r w:rsidRPr="00D22774">
        <w:rPr>
          <w:rFonts w:ascii="Times New Roman" w:hAnsi="Times New Roman" w:cs="Times New Roman"/>
          <w:sz w:val="20"/>
          <w:szCs w:val="20"/>
        </w:rPr>
        <w:t>земель, серед яких найбільш масштабними є ерозія (близько 57,5% території), забруднення (близько 20% території), підтоплення (близько 12% території)8. Зменшується вміст поживних речовин у ґрунтах, а щорічні втрати гумусу становлять 0,65 тонн на 1 гектар. Якщо взяти до уваги, що середні мінімальні економічні збитки лише від підтоплення сільгоспугідь становлять 500 грн /га на рік та 10-25 тис. грн / га на рік у містах, то загальні соціально-економічні втрати вже зараз можуть перевищувати 1,52,0 млрд грн на рік9.</w:t>
      </w:r>
    </w:p>
    <w:p w14:paraId="3086E1A5" w14:textId="72EF2717" w:rsidR="007A6FCB" w:rsidRPr="00D22774" w:rsidRDefault="007A6FCB" w:rsidP="00E661DD">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Лісистість України становить 15,6%, що майже втричі менше лісистості Західної Європи (43,2%)10. За сучасними оцінками, для досягнення оптимальних показників лісистості необхідно збільшити площу лісів щонайменше на 2-2,5 млн га. Проте, ураховуючи наявні зовнішні загрози, пов’язані з воєнними діями, це поки що нереально. Площа заповідних земель у 2,5 рази менше середньоєвропейського показника11. Показник заповідних об'єктів в Україні становить усього 5% від загальної площі, а </w:t>
      </w:r>
      <w:r w:rsidRPr="00D22774">
        <w:rPr>
          <w:rFonts w:ascii="Times New Roman" w:hAnsi="Times New Roman" w:cs="Times New Roman"/>
          <w:b/>
          <w:sz w:val="20"/>
          <w:szCs w:val="20"/>
        </w:rPr>
        <w:t>кількість чистої води на одного жителя – у 10 разів менша ніж в країнах ЄС</w:t>
      </w:r>
      <w:r w:rsidRPr="00D22774">
        <w:rPr>
          <w:rFonts w:ascii="Times New Roman" w:hAnsi="Times New Roman" w:cs="Times New Roman"/>
          <w:sz w:val="20"/>
          <w:szCs w:val="20"/>
        </w:rPr>
        <w:t>. Україна посідає одне з перших місць у світі за рівнем споживання природних благ на одиницю ВВП, оскільки превалює ресурсна орієнтація розвитку національної економіки. Так, за офіційними оцінками, на одиницю ВВП витрачається майже тонна природних ресурсів, тоді як у США – 3 кг. Загальне енергоспоживання на одиницю ВВП в Україні в 1,8 раза більше, ніж у РФ, у 3,5 рази більше, ніж у Польщі, у 8,3 раза вище, ніж у країнах Європи; за останні</w:t>
      </w:r>
      <w:r w:rsidR="00E661DD">
        <w:rPr>
          <w:rFonts w:ascii="Times New Roman" w:hAnsi="Times New Roman" w:cs="Times New Roman"/>
          <w:sz w:val="20"/>
          <w:szCs w:val="20"/>
        </w:rPr>
        <w:t xml:space="preserve"> </w:t>
      </w:r>
      <w:r w:rsidRPr="00D22774">
        <w:rPr>
          <w:rFonts w:ascii="Times New Roman" w:hAnsi="Times New Roman" w:cs="Times New Roman"/>
          <w:sz w:val="20"/>
          <w:szCs w:val="20"/>
        </w:rPr>
        <w:t>20 років енергоємність одиниці ВВП України збільшилась майже вдвічі. При цьому сьогодні Україна посідає 87 місце серед країн світу за Індексом якості навколишнього середовища, на її території знаходиться 1,2 млн тонн відходів, із яких близько 75% належить до 3-го класу небезпеки. За рівнем використання водних ресурсів вона перебуває на 95 місці із 122 країн світу, а рівень технологічного навантаження у цілому</w:t>
      </w:r>
      <w:r w:rsidR="00CB251C" w:rsidRPr="00D22774">
        <w:rPr>
          <w:rFonts w:ascii="Times New Roman" w:hAnsi="Times New Roman" w:cs="Times New Roman"/>
          <w:sz w:val="20"/>
          <w:szCs w:val="20"/>
        </w:rPr>
        <w:t xml:space="preserve"> </w:t>
      </w:r>
      <w:r w:rsidRPr="00D22774">
        <w:rPr>
          <w:rFonts w:ascii="Times New Roman" w:hAnsi="Times New Roman" w:cs="Times New Roman"/>
          <w:sz w:val="20"/>
          <w:szCs w:val="20"/>
        </w:rPr>
        <w:t>по країні в 4-5 разів перевищує аналогічні показники інших країн12.</w:t>
      </w:r>
    </w:p>
    <w:p w14:paraId="418B31C3" w14:textId="718196CC"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Доцільним є </w:t>
      </w:r>
      <w:r w:rsidRPr="00D22774">
        <w:rPr>
          <w:rFonts w:ascii="Times New Roman" w:hAnsi="Times New Roman" w:cs="Times New Roman"/>
          <w:b/>
          <w:sz w:val="20"/>
          <w:szCs w:val="20"/>
        </w:rPr>
        <w:t xml:space="preserve">отримання синергії від упровадження економічного та екологічного складників </w:t>
      </w:r>
      <w:r w:rsidRPr="00D22774">
        <w:rPr>
          <w:rFonts w:ascii="Times New Roman" w:hAnsi="Times New Roman" w:cs="Times New Roman"/>
          <w:sz w:val="20"/>
          <w:szCs w:val="20"/>
        </w:rPr>
        <w:t>соціальноекономічних реформ на національному, регіональному та місцевому рівнях, тому практичне врахування екологічних факторів безпосередньо під час господарської діяльності є домінантною вимогою.</w:t>
      </w:r>
    </w:p>
    <w:p w14:paraId="1400CFDF" w14:textId="5C429F6B"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Характерною особливістю сучасного стану основних фондів виробництва залишається їх висока зношеність. Найбільше зношені основні фонди підприємств з виробництва електроенергії, газу та води, обробної промисловості та добувної промисловості.</w:t>
      </w:r>
    </w:p>
    <w:p w14:paraId="14705B90" w14:textId="20B0A8F2" w:rsidR="007A6FCB" w:rsidRPr="00D22774" w:rsidRDefault="007A6FCB" w:rsidP="00CB251C">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Ця ситуація в її динаміці призвела до значних негативних екологічних та економічних наслідків. Такий розвиток подій, насамперед, завдає збитків екологічній системі у вигляді дедалі збільшуваного обсягу вилучення природних ресурсів та забруднення навколишнього середовища. Таким чином, спостерігається перевитрата ресурсів для функціонування економіки внаслідок недосконалого природоресурсного менеджменту. У зв'язку з цим </w:t>
      </w:r>
      <w:r w:rsidRPr="00D22774">
        <w:rPr>
          <w:rFonts w:ascii="Times New Roman" w:hAnsi="Times New Roman" w:cs="Times New Roman"/>
          <w:sz w:val="20"/>
          <w:szCs w:val="20"/>
        </w:rPr>
        <w:lastRenderedPageBreak/>
        <w:t xml:space="preserve">необхідно забезпечити </w:t>
      </w:r>
      <w:r w:rsidRPr="00D22774">
        <w:rPr>
          <w:rFonts w:ascii="Times New Roman" w:hAnsi="Times New Roman" w:cs="Times New Roman"/>
          <w:b/>
          <w:sz w:val="20"/>
          <w:szCs w:val="20"/>
        </w:rPr>
        <w:t>реалізацію геоекономічних переваг України</w:t>
      </w:r>
      <w:r w:rsidRPr="00D22774">
        <w:rPr>
          <w:rFonts w:ascii="Times New Roman" w:hAnsi="Times New Roman" w:cs="Times New Roman"/>
          <w:sz w:val="20"/>
          <w:szCs w:val="20"/>
        </w:rPr>
        <w:t>, серед яких основною є наявність багатого природно-ресурсного потенціалу. Лише за рахунок його раціонального використання можливе істотне збільшення  ВВП  та  подальше  його</w:t>
      </w:r>
      <w:r w:rsidR="00CB251C" w:rsidRPr="00D22774">
        <w:rPr>
          <w:rFonts w:ascii="Times New Roman" w:hAnsi="Times New Roman" w:cs="Times New Roman"/>
          <w:sz w:val="20"/>
          <w:szCs w:val="20"/>
        </w:rPr>
        <w:t xml:space="preserve"> </w:t>
      </w:r>
      <w:r w:rsidRPr="00D22774">
        <w:rPr>
          <w:rFonts w:ascii="Times New Roman" w:hAnsi="Times New Roman" w:cs="Times New Roman"/>
          <w:sz w:val="20"/>
          <w:szCs w:val="20"/>
        </w:rPr>
        <w:t>«озеленення».</w:t>
      </w:r>
    </w:p>
    <w:p w14:paraId="27624097" w14:textId="3430B89D" w:rsidR="007A6FCB" w:rsidRPr="00D22774" w:rsidRDefault="007A6FCB" w:rsidP="00E21F18">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З іншого боку, простежується і зростання забруднення довкілля, оскільки старим технологічним системам властива низька екологічна ефективність виробництва. Крім розглянутих суто екологічних деструктивних наслідків, застарілі технології призводять і до економічних перевитрат, що негативно впливає на загальну ефективність та безпеку розвитку такої економіки.</w:t>
      </w:r>
    </w:p>
    <w:p w14:paraId="7F54A915" w14:textId="253D7C82"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b/>
          <w:sz w:val="20"/>
          <w:szCs w:val="20"/>
        </w:rPr>
        <w:t xml:space="preserve">Потреби екологізації економіки України. </w:t>
      </w:r>
      <w:r w:rsidRPr="00D22774">
        <w:rPr>
          <w:rFonts w:ascii="Times New Roman" w:hAnsi="Times New Roman" w:cs="Times New Roman"/>
          <w:sz w:val="20"/>
          <w:szCs w:val="20"/>
        </w:rPr>
        <w:t>Хоча за роки незалежності економіка України і зазнала величезних змін, проте й досі залишається нерозвиненою структурно й технологічно. У ній продовжують домінувати галузі, що виробляють продукцію з низьким рівнем доданої вартості. Низькі темпи зростання української економіки, деградація довкілля, необхідність підвищення міжнародного іміджу, а також виконання міжнародних угод, потребують зміни панівної парадигми розвитку країни на користь моделі «зеленого» зростання не лише на національному, а й регіональному рівнях.</w:t>
      </w:r>
    </w:p>
    <w:p w14:paraId="5724A6E7" w14:textId="1CE1070E" w:rsidR="007A6FCB" w:rsidRPr="00D22774" w:rsidRDefault="007A6FCB" w:rsidP="00051454">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Незважаючи на те, що подібні процеси реформування проявлялися в багатьох країнах, економіці України властива певна специфіка, яка зумовлюється територіальними, історичними, демографічними й іншими факторами, а також глобальністю змін, що відбуваються. Низькі темпи ринкових перетворень і незадовільний стан розв’язання соціально-економічних проблем свідчать про відсутність зваженої державної політики, що негативно впливає на економічний розвиток регіонів, призводить до поглиблення диспропорцій у територіальній структурі національної економіки й у соціальній її сфері. Усе це значною мірою є </w:t>
      </w:r>
      <w:r w:rsidRPr="00D22774">
        <w:rPr>
          <w:rFonts w:ascii="Times New Roman" w:hAnsi="Times New Roman" w:cs="Times New Roman"/>
          <w:b/>
          <w:sz w:val="20"/>
          <w:szCs w:val="20"/>
        </w:rPr>
        <w:t>наслідком структурної кризи в Україні</w:t>
      </w:r>
      <w:r w:rsidRPr="00D22774">
        <w:rPr>
          <w:rFonts w:ascii="Times New Roman" w:hAnsi="Times New Roman" w:cs="Times New Roman"/>
          <w:sz w:val="20"/>
          <w:szCs w:val="20"/>
        </w:rPr>
        <w:t>, що виявлена в надмірній централізації державної влади, відсутності належної матеріальної та фінансової основи й державної підтримки регіонального розвитку, недосконалості розмежування повноважень між різними гілками влади на основі принципу субсидіарності. Окрім того, ще не створено ефективної нормативноправової бази для забезпечення плідної співпраці та взаємодії центру й регіонів. Особливо чітко ці тенденції визначаються щодо активізації політики «зеленої» економіки, яка на сьогодні набуває домінантної ролі в стратегії трансформаційних зрушень та економічного зростання в Україні.</w:t>
      </w:r>
    </w:p>
    <w:p w14:paraId="3423C95B" w14:textId="07453EAB"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Можна стверджувати, що в Україні необхідність розроблення та впровадження політики «зеленого» зростання була викликана потребою екологізації економіки країни. При цьому, як і в інших країнах Східного партнерства ЄС (СП), екологізація економіки в Україні відбувається в умовах структурної перебудови суспільного розвитку.</w:t>
      </w:r>
    </w:p>
    <w:p w14:paraId="5BF06EF0" w14:textId="414B9450"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Це означає, що розвиток ринкових відносин має орієнтуватися на постійне </w:t>
      </w:r>
      <w:r w:rsidRPr="00D22774">
        <w:rPr>
          <w:rFonts w:ascii="Times New Roman" w:hAnsi="Times New Roman" w:cs="Times New Roman"/>
          <w:b/>
          <w:sz w:val="20"/>
          <w:szCs w:val="20"/>
        </w:rPr>
        <w:t xml:space="preserve">підтримання балансу </w:t>
      </w:r>
      <w:r w:rsidRPr="00D22774">
        <w:rPr>
          <w:rFonts w:ascii="Times New Roman" w:hAnsi="Times New Roman" w:cs="Times New Roman"/>
          <w:sz w:val="20"/>
          <w:szCs w:val="20"/>
        </w:rPr>
        <w:t xml:space="preserve">між техногенним навантаженням на довкілля </w:t>
      </w:r>
      <w:r w:rsidRPr="00D22774">
        <w:rPr>
          <w:rFonts w:ascii="Times New Roman" w:hAnsi="Times New Roman" w:cs="Times New Roman"/>
          <w:sz w:val="20"/>
          <w:szCs w:val="20"/>
        </w:rPr>
        <w:lastRenderedPageBreak/>
        <w:t>і здатністю середовища до самовідновлення, а держава повинна створити умови для реалізації таких стратегій.</w:t>
      </w:r>
    </w:p>
    <w:p w14:paraId="31DCE6F2" w14:textId="77777777"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З метою розбудови і процвітання держави  Україна  може  забезпечити</w:t>
      </w:r>
    </w:p>
    <w:p w14:paraId="26BD0D1F" w14:textId="4994A3F9" w:rsidR="007A6FCB" w:rsidRPr="00D22774" w:rsidRDefault="007A6FCB" w:rsidP="00605DD1">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«зелене» зростання виключно шляхом</w:t>
      </w:r>
      <w:r w:rsidR="00605DD1" w:rsidRPr="00D22774">
        <w:rPr>
          <w:rFonts w:ascii="Times New Roman" w:hAnsi="Times New Roman" w:cs="Times New Roman"/>
          <w:sz w:val="20"/>
          <w:szCs w:val="20"/>
        </w:rPr>
        <w:t xml:space="preserve"> </w:t>
      </w:r>
      <w:r w:rsidRPr="00D22774">
        <w:rPr>
          <w:rFonts w:ascii="Times New Roman" w:hAnsi="Times New Roman" w:cs="Times New Roman"/>
          <w:sz w:val="20"/>
          <w:szCs w:val="20"/>
        </w:rPr>
        <w:t>ефективного використання всіх видів ресурсів,</w:t>
      </w:r>
      <w:r w:rsidR="009C2BC3">
        <w:rPr>
          <w:rFonts w:ascii="Times New Roman" w:hAnsi="Times New Roman" w:cs="Times New Roman"/>
          <w:sz w:val="20"/>
          <w:szCs w:val="20"/>
        </w:rPr>
        <w:t xml:space="preserve"> </w:t>
      </w:r>
      <w:r w:rsidRPr="00D22774">
        <w:rPr>
          <w:rFonts w:ascii="Times New Roman" w:hAnsi="Times New Roman" w:cs="Times New Roman"/>
          <w:sz w:val="20"/>
          <w:szCs w:val="20"/>
        </w:rPr>
        <w:t>структурно-технологічної реструктуризації виробництва, використання творчого потенціалу всіх членів суспільства.</w:t>
      </w:r>
    </w:p>
    <w:p w14:paraId="3DAD169C" w14:textId="2E5FF5D6"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Водночас можна констатувати, що Україна політично приєдналася до основних міжнародних конвенцій та декларацій: на законодавчому рівні затверджено національні і загальнодержавні програми, серед яких Основні засади (стратегія) державної екологічної політики до 2020 року, Національний план дій з охорони навколишнього природного середовища України на період 2011-2015 роки тощо.</w:t>
      </w:r>
    </w:p>
    <w:p w14:paraId="75B3E629" w14:textId="7C3A9588" w:rsidR="007A6FCB" w:rsidRPr="00D22774" w:rsidRDefault="007A6FCB" w:rsidP="00A164FF">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Проте на сьогодні можна визнати, що </w:t>
      </w:r>
      <w:r w:rsidRPr="00D22774">
        <w:rPr>
          <w:rFonts w:ascii="Times New Roman" w:hAnsi="Times New Roman" w:cs="Times New Roman"/>
          <w:b/>
          <w:sz w:val="20"/>
          <w:szCs w:val="20"/>
        </w:rPr>
        <w:t xml:space="preserve">економіка України неконкурентоспроможна </w:t>
      </w:r>
      <w:r w:rsidRPr="00D22774">
        <w:rPr>
          <w:rFonts w:ascii="Times New Roman" w:hAnsi="Times New Roman" w:cs="Times New Roman"/>
          <w:sz w:val="20"/>
          <w:szCs w:val="20"/>
        </w:rPr>
        <w:t>внаслідок високої енергоємності та ресурсовитратності, тому необхідна її екологізація – перехід на відновлювальні джерела енергії, упровадження «зелених» технологій і раціональний підхід до використання ресурсів. Проте економіка все ще продовжує орієнтуватися</w:t>
      </w:r>
      <w:r w:rsidR="009C2BC3">
        <w:rPr>
          <w:rFonts w:ascii="Times New Roman" w:hAnsi="Times New Roman" w:cs="Times New Roman"/>
          <w:sz w:val="20"/>
          <w:szCs w:val="20"/>
        </w:rPr>
        <w:t xml:space="preserve"> </w:t>
      </w:r>
      <w:r w:rsidRPr="00D22774">
        <w:rPr>
          <w:rFonts w:ascii="Times New Roman" w:hAnsi="Times New Roman" w:cs="Times New Roman"/>
          <w:sz w:val="20"/>
          <w:szCs w:val="20"/>
        </w:rPr>
        <w:t>на</w:t>
      </w:r>
      <w:r w:rsidR="009C2BC3">
        <w:rPr>
          <w:rFonts w:ascii="Times New Roman" w:hAnsi="Times New Roman" w:cs="Times New Roman"/>
          <w:sz w:val="20"/>
          <w:szCs w:val="20"/>
        </w:rPr>
        <w:t xml:space="preserve">  </w:t>
      </w:r>
      <w:r w:rsidRPr="00D22774">
        <w:rPr>
          <w:rFonts w:ascii="Times New Roman" w:hAnsi="Times New Roman" w:cs="Times New Roman"/>
          <w:sz w:val="20"/>
          <w:szCs w:val="20"/>
        </w:rPr>
        <w:t>мінливу</w:t>
      </w:r>
      <w:r w:rsidR="009C2BC3">
        <w:rPr>
          <w:rFonts w:ascii="Times New Roman" w:hAnsi="Times New Roman" w:cs="Times New Roman"/>
          <w:sz w:val="20"/>
          <w:szCs w:val="20"/>
        </w:rPr>
        <w:t xml:space="preserve"> </w:t>
      </w:r>
      <w:r w:rsidRPr="00D22774">
        <w:rPr>
          <w:rFonts w:ascii="Times New Roman" w:hAnsi="Times New Roman" w:cs="Times New Roman"/>
          <w:sz w:val="20"/>
          <w:szCs w:val="20"/>
        </w:rPr>
        <w:t>зовнішню кон’юнктуру та сировинний експорт, імпортує енергетичні ресурси, не дбаючи про розвиток сучасних національних виробництв, еколого орієнтованої інфраструктури та припинення деградації довкілля на всій території країни. Незадіяним повною мірою джерелом екологічного фінансування та коштів на потреби охорони навколишнього природного середовища є міжнародна технічна допомога та впровадження так званих гнучких механізмів Кіотського протоколу</w:t>
      </w:r>
      <w:r w:rsidR="009C2BC3">
        <w:rPr>
          <w:rFonts w:ascii="Times New Roman" w:hAnsi="Times New Roman" w:cs="Times New Roman"/>
          <w:sz w:val="20"/>
          <w:szCs w:val="20"/>
        </w:rPr>
        <w:t xml:space="preserve"> </w:t>
      </w:r>
      <w:r w:rsidRPr="00D22774">
        <w:rPr>
          <w:rFonts w:ascii="Times New Roman" w:hAnsi="Times New Roman" w:cs="Times New Roman"/>
          <w:sz w:val="20"/>
          <w:szCs w:val="20"/>
        </w:rPr>
        <w:t>до</w:t>
      </w:r>
      <w:r w:rsidR="00CB5DE3">
        <w:rPr>
          <w:rFonts w:ascii="Times New Roman" w:hAnsi="Times New Roman" w:cs="Times New Roman"/>
          <w:sz w:val="20"/>
          <w:szCs w:val="20"/>
        </w:rPr>
        <w:t xml:space="preserve"> </w:t>
      </w:r>
      <w:r w:rsidRPr="00D22774">
        <w:rPr>
          <w:rFonts w:ascii="Times New Roman" w:hAnsi="Times New Roman" w:cs="Times New Roman"/>
          <w:sz w:val="20"/>
          <w:szCs w:val="20"/>
        </w:rPr>
        <w:t>Рамково</w:t>
      </w:r>
      <w:r w:rsidR="00CB5DE3">
        <w:rPr>
          <w:rFonts w:ascii="Times New Roman" w:hAnsi="Times New Roman" w:cs="Times New Roman"/>
          <w:sz w:val="20"/>
          <w:szCs w:val="20"/>
        </w:rPr>
        <w:t xml:space="preserve"> </w:t>
      </w:r>
      <w:r w:rsidRPr="00D22774">
        <w:rPr>
          <w:rFonts w:ascii="Times New Roman" w:hAnsi="Times New Roman" w:cs="Times New Roman"/>
          <w:sz w:val="20"/>
          <w:szCs w:val="20"/>
        </w:rPr>
        <w:t xml:space="preserve"> конвенції ООН про зміну клімату. З підисанням </w:t>
      </w:r>
      <w:r w:rsidRPr="00D22774">
        <w:rPr>
          <w:rFonts w:ascii="Times New Roman" w:hAnsi="Times New Roman" w:cs="Times New Roman"/>
          <w:b/>
          <w:sz w:val="20"/>
          <w:szCs w:val="20"/>
        </w:rPr>
        <w:t xml:space="preserve">Паризької Угоди </w:t>
      </w:r>
      <w:r w:rsidRPr="00D22774">
        <w:rPr>
          <w:rFonts w:ascii="Times New Roman" w:hAnsi="Times New Roman" w:cs="Times New Roman"/>
          <w:sz w:val="20"/>
          <w:szCs w:val="20"/>
        </w:rPr>
        <w:t>зобов’язання України</w:t>
      </w:r>
      <w:r w:rsidR="00A164FF">
        <w:rPr>
          <w:rFonts w:ascii="Times New Roman" w:hAnsi="Times New Roman" w:cs="Times New Roman"/>
          <w:sz w:val="20"/>
          <w:szCs w:val="20"/>
        </w:rPr>
        <w:t xml:space="preserve"> </w:t>
      </w:r>
      <w:r w:rsidRPr="00D22774">
        <w:rPr>
          <w:rFonts w:ascii="Times New Roman" w:hAnsi="Times New Roman" w:cs="Times New Roman"/>
          <w:sz w:val="20"/>
          <w:szCs w:val="20"/>
        </w:rPr>
        <w:t>в цьому форматі значно посилюються.</w:t>
      </w:r>
    </w:p>
    <w:p w14:paraId="07632D31" w14:textId="271E054B" w:rsidR="007A6FCB" w:rsidRPr="00D22774" w:rsidRDefault="007A6FCB" w:rsidP="00CB251C">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Крім того, </w:t>
      </w:r>
      <w:r w:rsidRPr="00D22774">
        <w:rPr>
          <w:rFonts w:ascii="Times New Roman" w:hAnsi="Times New Roman" w:cs="Times New Roman"/>
          <w:b/>
          <w:sz w:val="20"/>
          <w:szCs w:val="20"/>
        </w:rPr>
        <w:t xml:space="preserve">екологізація промисловості </w:t>
      </w:r>
      <w:r w:rsidRPr="00D22774">
        <w:rPr>
          <w:rFonts w:ascii="Times New Roman" w:hAnsi="Times New Roman" w:cs="Times New Roman"/>
          <w:sz w:val="20"/>
          <w:szCs w:val="20"/>
        </w:rPr>
        <w:t>– це один з найбільш складних напрямків для економіки країн, що розвиваються, оскільки потребує значних інвестицій, які пов'язані з масштабним моральним і фізичним зношенням устаткування на підприємствах. Так, виготовлення продукції на застарілому технологічному обладнанні неминуче призводить  до  зниження  конкуренто-спроможності на міжнародних ринках; високої ресурсоємності; нагромадження відходів виробництва; забруднення шкідливими викидами природного середовища; передчасного зносу устаткування; зменшення продуктивності; додаткових витрат на поліпшення соціальної сфери і т.ін. Тут важливо відзначити необхідність таких заходів: упровадження маловідходних і безвідходних технологій; переоснащення виробничих потужностей на ресурсозберігаючі; створення окремих виробничих комплексів, де, крім виробництва, здійснюється також переробка та повторне використання відходів виробництва, тобто існує повний рециклінг виробництва; орієнтація на впровадження ресурсоефективного та більш чистого виробництва та випуск екологічно чистої продукції.</w:t>
      </w:r>
    </w:p>
    <w:p w14:paraId="02C97464" w14:textId="62835FDF"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b/>
          <w:i/>
          <w:sz w:val="20"/>
          <w:szCs w:val="20"/>
        </w:rPr>
        <w:lastRenderedPageBreak/>
        <w:t xml:space="preserve">Соціальні чинники зеленого зростання. </w:t>
      </w:r>
      <w:r w:rsidRPr="00D22774">
        <w:rPr>
          <w:rFonts w:ascii="Times New Roman" w:hAnsi="Times New Roman" w:cs="Times New Roman"/>
          <w:sz w:val="20"/>
          <w:szCs w:val="20"/>
        </w:rPr>
        <w:t xml:space="preserve">На сьогодні можна констатувати про динамічне </w:t>
      </w:r>
      <w:r w:rsidRPr="00D22774">
        <w:rPr>
          <w:rFonts w:ascii="Times New Roman" w:hAnsi="Times New Roman" w:cs="Times New Roman"/>
          <w:b/>
          <w:sz w:val="20"/>
          <w:szCs w:val="20"/>
        </w:rPr>
        <w:t xml:space="preserve">погіршення демографічних показників і популяційного здоров'я населення </w:t>
      </w:r>
      <w:r w:rsidRPr="00D22774">
        <w:rPr>
          <w:rFonts w:ascii="Times New Roman" w:hAnsi="Times New Roman" w:cs="Times New Roman"/>
          <w:sz w:val="20"/>
          <w:szCs w:val="20"/>
        </w:rPr>
        <w:t>на тлі соціально-економічного та екологічного неблагополуччя, яке характеризується високим рівнем забруднення навколишнього середовища шкідливими чинниками різної (хімічної, фізичної, біологічної) природи.</w:t>
      </w:r>
    </w:p>
    <w:p w14:paraId="0618A21E" w14:textId="2282125B" w:rsidR="007A6FCB" w:rsidRPr="00D22774" w:rsidRDefault="007A6FCB" w:rsidP="00EA0EE7">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У 1991 р. в Україні вперше кількість померлих перевищила кількість народжених. У подальші роки процес депопуляції неухильно зростав. На сьогодні, за оцінками національних та міжнародних доповідей, за тривалістю життя Україна перебуває на останньому місті серед європейських та деяких азіатських країн. Середня очікувана тривалість життя при народженні в Україні менше на 5-6 років, ніж у європейських постсоціалістичних країнах, і на 9-11 років менше, ніж в економічно розвинених країнах. Рівень захворюваності та смертності населення України залишається критичним: 40% населення – це інваліди й особи, які перебувають на диспансерному обліку, тобто потребують системного лікування. При цьому, за оцінками Доповіді про зелену трансформацію в Україні на основі показників зростання ОЕСР (2017 р.), вагомий вплив на зростання захворюваності та смертності серед населення має незадовільний стан навколишнього природного середовища і, насамперед, забрудненість повітря, яке відчувають близько 17 млн чоловік (34% населення). Пороки розвитку дітей у містах із забрудненим довкіллям трапляються в 3-4 рази частіше, ніж у відносно благополучних містах, а загальний рівень захворюваності на 25-40% вище. Найгостріші проблеми здоров'я населення України пов'язані з хворобами системи кровообігу, новоутвореннями (перш за все у чоловіків працездатного віку) і такими соціальними хворобами, як СНІД і туберкульоз. Розвиток цих хвороб посилюється </w:t>
      </w:r>
      <w:r w:rsidRPr="00D22774">
        <w:rPr>
          <w:rFonts w:ascii="Times New Roman" w:hAnsi="Times New Roman" w:cs="Times New Roman"/>
          <w:b/>
          <w:sz w:val="20"/>
          <w:szCs w:val="20"/>
        </w:rPr>
        <w:t>екологічними проблемами</w:t>
      </w:r>
      <w:r w:rsidRPr="00D22774">
        <w:rPr>
          <w:rFonts w:ascii="Times New Roman" w:hAnsi="Times New Roman" w:cs="Times New Roman"/>
          <w:sz w:val="20"/>
          <w:szCs w:val="20"/>
        </w:rPr>
        <w:t xml:space="preserve">, поширеністю шкідливих звичок. Міжнародне агентство з вивчення раку до 85 % виникнення пухлин у людей пов'язує з впливом чинників навколишнього середовища та способом життя. До недавнього часу онкологічна патологія проявлялась у кожної шостої жінки і четвертого чоловіка. Сьогодні йдеться про кожну п'яту жінку і кожного третьогочетвертого чоловіка. Кумулятивний ризик розвитку новоутворень становить 28 % у чоловіків і 18 % у жінок. Беручи за основу динаміку змін у спектрі онкологічних захворювань та їхньої частоти, маємо всі підстави припустити, що людський організм як біологічна система чутливо реагує на негативні явища навколишнього середовища. Загалом, за </w:t>
      </w:r>
      <w:r w:rsidRPr="00D22774">
        <w:rPr>
          <w:rFonts w:ascii="Times New Roman" w:hAnsi="Times New Roman" w:cs="Times New Roman"/>
          <w:b/>
          <w:sz w:val="20"/>
          <w:szCs w:val="20"/>
        </w:rPr>
        <w:t xml:space="preserve">індексом якості навколишнього </w:t>
      </w:r>
      <w:r w:rsidRPr="00D22774">
        <w:rPr>
          <w:rFonts w:ascii="Times New Roman" w:hAnsi="Times New Roman" w:cs="Times New Roman"/>
          <w:sz w:val="20"/>
          <w:szCs w:val="20"/>
        </w:rPr>
        <w:t>середовища (Environmental Performance Index) Україна десять років тому посідала 87 місце серед 163 країн світу. Зараз ситуація ще більш невтішна.</w:t>
      </w:r>
    </w:p>
    <w:p w14:paraId="56FEBA4F" w14:textId="7306F343" w:rsidR="007A6FCB" w:rsidRPr="00D22774" w:rsidRDefault="007A6FCB" w:rsidP="00113D1E">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Тому стратегічними та програмними</w:t>
      </w:r>
      <w:r w:rsidR="00113D1E">
        <w:rPr>
          <w:rFonts w:ascii="Times New Roman" w:hAnsi="Times New Roman" w:cs="Times New Roman"/>
          <w:sz w:val="20"/>
          <w:szCs w:val="20"/>
        </w:rPr>
        <w:t xml:space="preserve"> </w:t>
      </w:r>
      <w:r w:rsidRPr="00D22774">
        <w:rPr>
          <w:rFonts w:ascii="Times New Roman" w:hAnsi="Times New Roman" w:cs="Times New Roman"/>
          <w:sz w:val="20"/>
          <w:szCs w:val="20"/>
        </w:rPr>
        <w:t xml:space="preserve">документами поставлено завдання </w:t>
      </w:r>
      <w:r w:rsidRPr="00D22774">
        <w:rPr>
          <w:rFonts w:ascii="Times New Roman" w:hAnsi="Times New Roman" w:cs="Times New Roman"/>
          <w:b/>
          <w:sz w:val="20"/>
          <w:szCs w:val="20"/>
        </w:rPr>
        <w:t>до 2020 р. збільшити очіковану тривалість життя населення України на 3 роки</w:t>
      </w:r>
      <w:r w:rsidRPr="00D22774">
        <w:rPr>
          <w:rFonts w:ascii="Times New Roman" w:hAnsi="Times New Roman" w:cs="Times New Roman"/>
          <w:sz w:val="20"/>
          <w:szCs w:val="20"/>
        </w:rPr>
        <w:t>. Неспроможність здійснити наведені кроки загрожує подальшим погіршенням стану довкілля та здоров'я населення.</w:t>
      </w:r>
    </w:p>
    <w:p w14:paraId="162BC36C" w14:textId="6CAF591C" w:rsidR="007A6FCB" w:rsidRPr="00D22774" w:rsidRDefault="007A6FCB" w:rsidP="00CB251C">
      <w:pPr>
        <w:adjustRightInd w:val="0"/>
        <w:snapToGrid w:val="0"/>
        <w:spacing w:after="0" w:line="240" w:lineRule="auto"/>
        <w:ind w:firstLine="567"/>
        <w:jc w:val="both"/>
        <w:rPr>
          <w:rFonts w:ascii="Times New Roman" w:hAnsi="Times New Roman" w:cs="Times New Roman"/>
          <w:bCs/>
          <w:sz w:val="20"/>
          <w:szCs w:val="20"/>
        </w:rPr>
      </w:pPr>
      <w:r w:rsidRPr="00D22774">
        <w:rPr>
          <w:rFonts w:ascii="Times New Roman" w:hAnsi="Times New Roman" w:cs="Times New Roman"/>
          <w:b/>
          <w:bCs/>
          <w:sz w:val="20"/>
          <w:szCs w:val="20"/>
        </w:rPr>
        <w:lastRenderedPageBreak/>
        <w:t xml:space="preserve">оцінка спроможності національної моделі «зеленої» економіки. </w:t>
      </w:r>
      <w:r w:rsidRPr="00D22774">
        <w:rPr>
          <w:rFonts w:ascii="Times New Roman" w:hAnsi="Times New Roman" w:cs="Times New Roman"/>
          <w:bCs/>
          <w:sz w:val="20"/>
          <w:szCs w:val="20"/>
        </w:rPr>
        <w:t>За</w:t>
      </w:r>
      <w:r w:rsidR="00CB251C" w:rsidRPr="00D22774">
        <w:rPr>
          <w:rFonts w:ascii="Times New Roman" w:hAnsi="Times New Roman" w:cs="Times New Roman"/>
          <w:bCs/>
          <w:sz w:val="20"/>
          <w:szCs w:val="20"/>
        </w:rPr>
        <w:t xml:space="preserve"> </w:t>
      </w:r>
      <w:r w:rsidRPr="00D22774">
        <w:rPr>
          <w:rFonts w:ascii="Times New Roman" w:hAnsi="Times New Roman" w:cs="Times New Roman"/>
          <w:sz w:val="20"/>
          <w:szCs w:val="20"/>
        </w:rPr>
        <w:t>оцінками фахівців13, в умовах дії Угоди</w:t>
      </w:r>
      <w:r w:rsidR="00CB251C" w:rsidRPr="00D22774">
        <w:rPr>
          <w:rFonts w:ascii="Times New Roman" w:hAnsi="Times New Roman" w:cs="Times New Roman"/>
          <w:bCs/>
          <w:sz w:val="20"/>
          <w:szCs w:val="20"/>
        </w:rPr>
        <w:t xml:space="preserve"> </w:t>
      </w:r>
      <w:r w:rsidRPr="00D22774">
        <w:rPr>
          <w:rFonts w:ascii="Times New Roman" w:hAnsi="Times New Roman" w:cs="Times New Roman"/>
          <w:sz w:val="20"/>
          <w:szCs w:val="20"/>
        </w:rPr>
        <w:t>«Україна-ЄС» існує щонайменше п’ять причин, за якими українська економіка повинна змінити свою модель зростання в бік зелених видів діяльності.</w:t>
      </w:r>
    </w:p>
    <w:p w14:paraId="7556CC53" w14:textId="235CC61C" w:rsidR="007A6FCB" w:rsidRPr="00D22774" w:rsidRDefault="007A6FCB" w:rsidP="00B70AD9">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b/>
          <w:i/>
          <w:sz w:val="20"/>
          <w:szCs w:val="20"/>
        </w:rPr>
        <w:t xml:space="preserve">Перша. </w:t>
      </w:r>
      <w:r w:rsidRPr="00D22774">
        <w:rPr>
          <w:rFonts w:ascii="Times New Roman" w:hAnsi="Times New Roman" w:cs="Times New Roman"/>
          <w:sz w:val="20"/>
          <w:szCs w:val="20"/>
        </w:rPr>
        <w:t xml:space="preserve">Загострення конкурентної боротьби за ринки та обмежені ресурси в умовах посткризового відновлення світової економіки вимагає від підприємств безперервного пошуку джерел подальшого оновлення, удосконалення продукції й технологічних процесів, зростання продуктивності, використання енергетичних та інших матеріальних ресурсів. </w:t>
      </w:r>
      <w:r w:rsidRPr="00D22774">
        <w:rPr>
          <w:rFonts w:ascii="Times New Roman" w:hAnsi="Times New Roman" w:cs="Times New Roman"/>
          <w:b/>
          <w:i/>
          <w:sz w:val="20"/>
          <w:szCs w:val="20"/>
        </w:rPr>
        <w:t>Друга.</w:t>
      </w:r>
      <w:r w:rsidR="009C2BC3">
        <w:rPr>
          <w:rFonts w:ascii="Times New Roman" w:hAnsi="Times New Roman" w:cs="Times New Roman"/>
          <w:b/>
          <w:i/>
          <w:sz w:val="20"/>
          <w:szCs w:val="20"/>
        </w:rPr>
        <w:t xml:space="preserve"> </w:t>
      </w:r>
      <w:r w:rsidRPr="00D22774">
        <w:rPr>
          <w:rFonts w:ascii="Times New Roman" w:hAnsi="Times New Roman" w:cs="Times New Roman"/>
          <w:sz w:val="20"/>
          <w:szCs w:val="20"/>
        </w:rPr>
        <w:t>Екологічна</w:t>
      </w:r>
      <w:r w:rsidR="009C2BC3">
        <w:rPr>
          <w:rFonts w:ascii="Times New Roman" w:hAnsi="Times New Roman" w:cs="Times New Roman"/>
          <w:sz w:val="20"/>
          <w:szCs w:val="20"/>
        </w:rPr>
        <w:t xml:space="preserve"> </w:t>
      </w:r>
      <w:r w:rsidRPr="00D22774">
        <w:rPr>
          <w:rFonts w:ascii="Times New Roman" w:hAnsi="Times New Roman" w:cs="Times New Roman"/>
          <w:sz w:val="20"/>
          <w:szCs w:val="20"/>
        </w:rPr>
        <w:t>ефективність української</w:t>
      </w:r>
      <w:r w:rsidR="009C2BC3">
        <w:rPr>
          <w:rFonts w:ascii="Times New Roman" w:hAnsi="Times New Roman" w:cs="Times New Roman"/>
          <w:sz w:val="20"/>
          <w:szCs w:val="20"/>
        </w:rPr>
        <w:t xml:space="preserve">  </w:t>
      </w:r>
      <w:r w:rsidRPr="00D22774">
        <w:rPr>
          <w:rFonts w:ascii="Times New Roman" w:hAnsi="Times New Roman" w:cs="Times New Roman"/>
          <w:sz w:val="20"/>
          <w:szCs w:val="20"/>
        </w:rPr>
        <w:t>економіки</w:t>
      </w:r>
      <w:r w:rsidR="009C2BC3">
        <w:rPr>
          <w:rFonts w:ascii="Times New Roman" w:hAnsi="Times New Roman" w:cs="Times New Roman"/>
          <w:sz w:val="20"/>
          <w:szCs w:val="20"/>
        </w:rPr>
        <w:t xml:space="preserve">   </w:t>
      </w:r>
      <w:r w:rsidRPr="00D22774">
        <w:rPr>
          <w:rFonts w:ascii="Times New Roman" w:hAnsi="Times New Roman" w:cs="Times New Roman"/>
          <w:sz w:val="20"/>
          <w:szCs w:val="20"/>
        </w:rPr>
        <w:t>є</w:t>
      </w:r>
      <w:r w:rsidR="009C2BC3">
        <w:rPr>
          <w:rFonts w:ascii="Times New Roman" w:hAnsi="Times New Roman" w:cs="Times New Roman"/>
          <w:sz w:val="20"/>
          <w:szCs w:val="20"/>
        </w:rPr>
        <w:t xml:space="preserve"> </w:t>
      </w:r>
      <w:r w:rsidRPr="00D22774">
        <w:rPr>
          <w:rFonts w:ascii="Times New Roman" w:hAnsi="Times New Roman" w:cs="Times New Roman"/>
          <w:sz w:val="20"/>
          <w:szCs w:val="20"/>
        </w:rPr>
        <w:t>низькою: Україна є чистим імпортером первинних джерел енергії та одним з найбільших у Європі забруднювачів атмосферного повітря. Виваженість політики, спрямованої на імпортозаміщення, пов'язана з необхідністю формування рівня конкуренції, що забезпечує зниження цін і підвищення якості продукції вітчизняного товаровиробника, а також «зелену дорогу» сучасним, включаючи «зелені технології», «зелену продукцію», особливо в тих сферах, де спостерігається системне</w:t>
      </w:r>
      <w:r w:rsidR="00B70AD9">
        <w:rPr>
          <w:rFonts w:ascii="Times New Roman" w:hAnsi="Times New Roman" w:cs="Times New Roman"/>
          <w:sz w:val="20"/>
          <w:szCs w:val="20"/>
        </w:rPr>
        <w:t xml:space="preserve"> </w:t>
      </w:r>
      <w:r w:rsidRPr="00D22774">
        <w:rPr>
          <w:rFonts w:ascii="Times New Roman" w:hAnsi="Times New Roman" w:cs="Times New Roman"/>
          <w:sz w:val="20"/>
          <w:szCs w:val="20"/>
        </w:rPr>
        <w:t>відставання</w:t>
      </w:r>
      <w:r w:rsidR="00B70AD9">
        <w:rPr>
          <w:rFonts w:ascii="Times New Roman" w:hAnsi="Times New Roman" w:cs="Times New Roman"/>
          <w:sz w:val="20"/>
          <w:szCs w:val="20"/>
        </w:rPr>
        <w:t xml:space="preserve"> </w:t>
      </w:r>
      <w:r w:rsidRPr="00D22774">
        <w:rPr>
          <w:rFonts w:ascii="Times New Roman" w:hAnsi="Times New Roman" w:cs="Times New Roman"/>
          <w:sz w:val="20"/>
          <w:szCs w:val="20"/>
        </w:rPr>
        <w:t>порівняно</w:t>
      </w:r>
      <w:r w:rsidR="009C2BC3">
        <w:rPr>
          <w:rFonts w:ascii="Times New Roman" w:hAnsi="Times New Roman" w:cs="Times New Roman"/>
          <w:sz w:val="20"/>
          <w:szCs w:val="20"/>
        </w:rPr>
        <w:t xml:space="preserve"> </w:t>
      </w:r>
      <w:r w:rsidRPr="00D22774">
        <w:rPr>
          <w:rFonts w:ascii="Times New Roman" w:hAnsi="Times New Roman" w:cs="Times New Roman"/>
          <w:sz w:val="20"/>
          <w:szCs w:val="20"/>
        </w:rPr>
        <w:t>із</w:t>
      </w:r>
      <w:r w:rsidR="00B70AD9">
        <w:rPr>
          <w:rFonts w:ascii="Times New Roman" w:hAnsi="Times New Roman" w:cs="Times New Roman"/>
          <w:sz w:val="20"/>
          <w:szCs w:val="20"/>
        </w:rPr>
        <w:t xml:space="preserve"> </w:t>
      </w:r>
      <w:r w:rsidRPr="00D22774">
        <w:rPr>
          <w:rFonts w:ascii="Times New Roman" w:hAnsi="Times New Roman" w:cs="Times New Roman"/>
          <w:sz w:val="20"/>
          <w:szCs w:val="20"/>
        </w:rPr>
        <w:t>закордонними аналогами.</w:t>
      </w:r>
    </w:p>
    <w:p w14:paraId="1DE98D55" w14:textId="1FB883AB"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b/>
          <w:i/>
          <w:sz w:val="20"/>
          <w:szCs w:val="20"/>
        </w:rPr>
        <w:t xml:space="preserve">Третя. </w:t>
      </w:r>
      <w:r w:rsidRPr="00D22774">
        <w:rPr>
          <w:rFonts w:ascii="Times New Roman" w:hAnsi="Times New Roman" w:cs="Times New Roman"/>
          <w:sz w:val="20"/>
          <w:szCs w:val="20"/>
        </w:rPr>
        <w:t>Інтеграція України до Європейського Союзу передбачає відповідно до Європейської політики сусідства здійснення широкого кола заходів з гармонізації українських стандартів та законодавства до європейських норм і стандартів. Незважаючи на досить довгий багаторічний процес інтеграції, Україна продовжує відставати з прийняттям міжнародних стандартів у сфері енергетики та екологічного управління, що створює зайві бар’єри для українських експортерів, залучення інвестицій та їх ефективного використання.</w:t>
      </w:r>
    </w:p>
    <w:p w14:paraId="23DFAF0D" w14:textId="0ACBC9A6"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Прийняття стратегії «зеленого» зростання спонукатиме до прискореного створення умов для ведення бізнесу за міжнародними стандартами та виконання  міжнародних  зобов’язань</w:t>
      </w:r>
    </w:p>
    <w:p w14:paraId="1A8371CA" w14:textId="648E81C8" w:rsidR="007A6FCB" w:rsidRPr="00D22774" w:rsidRDefault="007A6FCB" w:rsidP="00EA0EE7">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України у сфері європейської та міжнародної інтеграції. Успіхи модернізації в секторальному контексті в Україні сьогодні значною мірою залежать від формування інституційної бази, основою якої повинні стати такі потужні мотиваційні сили як розвиток інвестиційної діяльності і, насамперед, за рахунок підвищення привабливості виробництва й мотивації вітчизняного виробника, у тому числі крізь призму еколого-економічних критеріїв.</w:t>
      </w:r>
    </w:p>
    <w:p w14:paraId="3FB11F09" w14:textId="58678223"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b/>
          <w:i/>
          <w:sz w:val="20"/>
          <w:szCs w:val="20"/>
        </w:rPr>
        <w:t xml:space="preserve">Четверта. </w:t>
      </w:r>
      <w:r w:rsidRPr="00D22774">
        <w:rPr>
          <w:rFonts w:ascii="Times New Roman" w:hAnsi="Times New Roman" w:cs="Times New Roman"/>
          <w:sz w:val="20"/>
          <w:szCs w:val="20"/>
        </w:rPr>
        <w:t>З метою посилення активізації розвитку «зеленої» економіки виникає необхідність трансформації низки податкових пільг та перегляду інституту субсидування, який є бар’єром для поширення моделі «зеленого» зростання в секторальному вимірі.</w:t>
      </w:r>
    </w:p>
    <w:p w14:paraId="09006F25" w14:textId="17341D10"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b/>
          <w:i/>
          <w:sz w:val="20"/>
          <w:szCs w:val="20"/>
        </w:rPr>
        <w:t xml:space="preserve">П’ята. </w:t>
      </w:r>
      <w:r w:rsidRPr="00D22774">
        <w:rPr>
          <w:rFonts w:ascii="Times New Roman" w:hAnsi="Times New Roman" w:cs="Times New Roman"/>
          <w:sz w:val="20"/>
          <w:szCs w:val="20"/>
        </w:rPr>
        <w:t xml:space="preserve">Сучасна економіка України неконкурентоспроможна в результаті енергоємності та ресурсовитратності, тому необхідна її екологізація – перехід на поновлювані джерела енергії, упровадження «зелених» технологій. Це особливо актуально, ураховуючи, що викопні види палива, які найбільшою мірою відповідають за забруднення повітря, залишаються </w:t>
      </w:r>
      <w:r w:rsidRPr="00D22774">
        <w:rPr>
          <w:rFonts w:ascii="Times New Roman" w:hAnsi="Times New Roman" w:cs="Times New Roman"/>
          <w:sz w:val="20"/>
          <w:szCs w:val="20"/>
        </w:rPr>
        <w:lastRenderedPageBreak/>
        <w:t>основним джерелом енергії в Україні й займають більш ніж 80% у загальному обсязі споживання первинних енергоносіїв.</w:t>
      </w:r>
    </w:p>
    <w:p w14:paraId="70B48DDE" w14:textId="4197AB42"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При цьому першочерговим кроком на шляху «зелених» реформ є розбудова інституційної спроможності та декларація доктринальних положень й амбітних намірів України у форматі забезпечення Глобального Зеленого Нового Курсу.</w:t>
      </w:r>
    </w:p>
    <w:p w14:paraId="00BAAFDC" w14:textId="58467990" w:rsidR="007A6FCB" w:rsidRPr="00D22774" w:rsidRDefault="007A6FCB" w:rsidP="005F2DB7">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Упровадження відповідних дій повинно сформувати сталу економічну систему,  орієнтовану  на  забезпечення</w:t>
      </w:r>
      <w:r w:rsidR="005F2DB7">
        <w:rPr>
          <w:rFonts w:ascii="Times New Roman" w:hAnsi="Times New Roman" w:cs="Times New Roman"/>
          <w:sz w:val="20"/>
          <w:szCs w:val="20"/>
        </w:rPr>
        <w:t xml:space="preserve"> </w:t>
      </w:r>
      <w:r w:rsidRPr="00D22774">
        <w:rPr>
          <w:rFonts w:ascii="Times New Roman" w:hAnsi="Times New Roman" w:cs="Times New Roman"/>
          <w:sz w:val="20"/>
          <w:szCs w:val="20"/>
        </w:rPr>
        <w:t>«зеленого» розвитку економіки країни та її регіонів. При цьому інвестування в охорону довкілля має стати важливим елементом багатьох пакетів заходів зі стимулювання ресурсозбереження та низьковуглецевого зростання. Країни світу використовують різні інструменти «зеленої» економіки у своїй національній політиці та стратегіях розвитку. Об’єктивно економіка</w:t>
      </w:r>
      <w:r w:rsidR="003D5F00" w:rsidRPr="00D22774">
        <w:rPr>
          <w:rFonts w:ascii="Times New Roman" w:hAnsi="Times New Roman" w:cs="Times New Roman"/>
          <w:sz w:val="20"/>
          <w:szCs w:val="20"/>
        </w:rPr>
        <w:t xml:space="preserve">   </w:t>
      </w:r>
      <w:r w:rsidRPr="00D22774">
        <w:rPr>
          <w:rFonts w:ascii="Times New Roman" w:hAnsi="Times New Roman" w:cs="Times New Roman"/>
          <w:sz w:val="20"/>
          <w:szCs w:val="20"/>
        </w:rPr>
        <w:t xml:space="preserve">України на сьогодні є неконкурентоспроможною, водночас директиви і вимоги Європейського Союзу в умовах чинної Угоди «Україна-ЄС» змушують упроваджувати зміни в економіці та в системі державної політики. Передусім мова йде про її стабілізацію та сталий розвиток. Тому необхідною запорукою стає активізація процесів екологізації за рахунок переходу на ресурсоощадні технології та відновлювальні джерела енергії. Успіх України в майбутньому багато в чому визначатиметься темпами здійснення не лише політичної, а й </w:t>
      </w:r>
      <w:r w:rsidRPr="00D22774">
        <w:rPr>
          <w:rFonts w:ascii="Times New Roman" w:hAnsi="Times New Roman" w:cs="Times New Roman"/>
          <w:b/>
          <w:sz w:val="20"/>
          <w:szCs w:val="20"/>
        </w:rPr>
        <w:t xml:space="preserve">економічної модернізації суспільства </w:t>
      </w:r>
      <w:r w:rsidRPr="00D22774">
        <w:rPr>
          <w:rFonts w:ascii="Times New Roman" w:hAnsi="Times New Roman" w:cs="Times New Roman"/>
          <w:sz w:val="20"/>
          <w:szCs w:val="20"/>
        </w:rPr>
        <w:t>загалом, ураховуючи, що питома вага інноваційної продукції в нашій країні не перевищує 1% (цей показник для Фінляндії становить більш ніж 30%, Італії, Португалії, Іспанії – 10-20%) від загального обсягу.</w:t>
      </w:r>
    </w:p>
    <w:p w14:paraId="36D35823" w14:textId="005813B7" w:rsidR="007A6FCB" w:rsidRPr="00D22774" w:rsidRDefault="007A6FCB" w:rsidP="00FB3005">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Україна повинна мати чітку стратегічну лінію свого надійного </w:t>
      </w:r>
      <w:r w:rsidRPr="00D22774">
        <w:rPr>
          <w:rFonts w:ascii="Times New Roman" w:hAnsi="Times New Roman" w:cs="Times New Roman"/>
          <w:b/>
          <w:sz w:val="20"/>
          <w:szCs w:val="20"/>
        </w:rPr>
        <w:t>позиціювання на глобальному та європейському рівнях</w:t>
      </w:r>
      <w:r w:rsidRPr="00D22774">
        <w:rPr>
          <w:rFonts w:ascii="Times New Roman" w:hAnsi="Times New Roman" w:cs="Times New Roman"/>
          <w:sz w:val="20"/>
          <w:szCs w:val="20"/>
        </w:rPr>
        <w:t xml:space="preserve">, яка кореспондуватиметься зі змінами у світовій економіці. Як показали наслідки світової фінансової кризи, збільшувана залежність національної економіки від зовнішніх факторів, обмеженість і висока вартість енергетичних ресурсів, необхідність раціонального використання сировинної бази й робочої сили слугують достатнім стимулом для переходу вітчизняної економіки до стандартів екологічно безпечного виробництва та споживання за міжнародними вимогами з метою забезпечення сталого економічного розвитку держави. Згідно з реаліями за економічним та науковим потенціалом Україна входить до першої п’ятірки країн Європи, а за ефективністю його використання замикає першу сотню країн світу. Отже, визначення та активна </w:t>
      </w:r>
      <w:r w:rsidRPr="00D22774">
        <w:rPr>
          <w:rFonts w:ascii="Times New Roman" w:hAnsi="Times New Roman" w:cs="Times New Roman"/>
          <w:b/>
          <w:sz w:val="20"/>
          <w:szCs w:val="20"/>
        </w:rPr>
        <w:t xml:space="preserve">реалізація пріоритетів інноваційного розвитку України в «зеленому» форматі </w:t>
      </w:r>
      <w:r w:rsidRPr="00D22774">
        <w:rPr>
          <w:rFonts w:ascii="Times New Roman" w:hAnsi="Times New Roman" w:cs="Times New Roman"/>
          <w:sz w:val="20"/>
          <w:szCs w:val="20"/>
        </w:rPr>
        <w:t>мають сприяти зміцненню на світовому та європейському рівнях іміджу України як держави зі значним науковим та освітнім потенціалом, здатної створювати високотехнологічну продукцію. Успіх інноваційної</w:t>
      </w:r>
      <w:r w:rsidR="00FB3005" w:rsidRPr="00D22774">
        <w:rPr>
          <w:rFonts w:ascii="Times New Roman" w:hAnsi="Times New Roman" w:cs="Times New Roman"/>
          <w:sz w:val="20"/>
          <w:szCs w:val="20"/>
        </w:rPr>
        <w:t xml:space="preserve"> </w:t>
      </w:r>
      <w:r w:rsidRPr="00D22774">
        <w:rPr>
          <w:rFonts w:ascii="Times New Roman" w:hAnsi="Times New Roman" w:cs="Times New Roman"/>
          <w:sz w:val="20"/>
          <w:szCs w:val="20"/>
        </w:rPr>
        <w:t xml:space="preserve">політики України на глобальному ринку повинен визначатися не лише обсягами інвестицій, які вона отримує зовні, а й з внутрішніх джерел для розвитку вітчизняного високотехнологічного виробництва, динамікою зростання частки експорту, підвищенням зацікавленості зарубіжних компаній </w:t>
      </w:r>
      <w:r w:rsidRPr="00D22774">
        <w:rPr>
          <w:rFonts w:ascii="Times New Roman" w:hAnsi="Times New Roman" w:cs="Times New Roman"/>
          <w:sz w:val="20"/>
          <w:szCs w:val="20"/>
        </w:rPr>
        <w:lastRenderedPageBreak/>
        <w:t>та висококваліфікованих спеціалістів співпрацювати з українськими підприємствами.</w:t>
      </w:r>
    </w:p>
    <w:p w14:paraId="64E90640" w14:textId="4DF8FAD1" w:rsidR="007A6FCB" w:rsidRPr="00D22774" w:rsidRDefault="007A6FCB" w:rsidP="0012192B">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Згідно із Законом України </w:t>
      </w:r>
      <w:r w:rsidRPr="00D22774">
        <w:rPr>
          <w:rFonts w:ascii="Times New Roman" w:hAnsi="Times New Roman" w:cs="Times New Roman"/>
          <w:b/>
          <w:sz w:val="20"/>
          <w:szCs w:val="20"/>
        </w:rPr>
        <w:t xml:space="preserve">«Про пріоритетні напрями інноваційної діяльності в Україні» </w:t>
      </w:r>
      <w:r w:rsidRPr="00D22774">
        <w:rPr>
          <w:rFonts w:ascii="Times New Roman" w:hAnsi="Times New Roman" w:cs="Times New Roman"/>
          <w:sz w:val="20"/>
          <w:szCs w:val="20"/>
        </w:rPr>
        <w:t>№ 3715-УІ від 08.09.2011 р. стратегічними пріоритетами інноваційної діяльності в Україні на 2011-2021 рр. визначено такі:</w:t>
      </w:r>
    </w:p>
    <w:p w14:paraId="5AA1AB00" w14:textId="63BB0BA0" w:rsidR="007A6FCB" w:rsidRPr="00D22774" w:rsidRDefault="007A6FCB" w:rsidP="00030A38">
      <w:pPr>
        <w:numPr>
          <w:ilvl w:val="0"/>
          <w:numId w:val="40"/>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освоєння нових технологій транспортування енергії, упровадження енергоефективних, ресурсозберігаючих технологій, освоєння альтернативних джерел енергії;</w:t>
      </w:r>
    </w:p>
    <w:p w14:paraId="072A1278" w14:textId="3C5FE2F6" w:rsidR="007A6FCB" w:rsidRPr="00D22774" w:rsidRDefault="007A6FCB" w:rsidP="00030A38">
      <w:pPr>
        <w:numPr>
          <w:ilvl w:val="0"/>
          <w:numId w:val="40"/>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освоєння нових технологій високотехнологічного розвитку транспортної системи, ракетно-космічної галузі, авіа</w:t>
      </w:r>
      <w:r w:rsidR="0080326A">
        <w:rPr>
          <w:rFonts w:ascii="Times New Roman" w:hAnsi="Times New Roman" w:cs="Times New Roman"/>
          <w:sz w:val="20"/>
          <w:szCs w:val="20"/>
        </w:rPr>
        <w:t xml:space="preserve"> </w:t>
      </w:r>
      <w:r w:rsidRPr="00D22774">
        <w:rPr>
          <w:rFonts w:ascii="Times New Roman" w:hAnsi="Times New Roman" w:cs="Times New Roman"/>
          <w:sz w:val="20"/>
          <w:szCs w:val="20"/>
        </w:rPr>
        <w:t>і суднобудування, озброєння та військової техніки;</w:t>
      </w:r>
    </w:p>
    <w:p w14:paraId="7413358C" w14:textId="0D94B400" w:rsidR="007A6FCB" w:rsidRPr="00D22774" w:rsidRDefault="007A6FCB" w:rsidP="00030A38">
      <w:pPr>
        <w:numPr>
          <w:ilvl w:val="0"/>
          <w:numId w:val="40"/>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освоєння нових технологій виробництва матеріалів, їх оброблення і з'єднання, створення індустрії наноматеріалів та нанотехнологій;</w:t>
      </w:r>
    </w:p>
    <w:p w14:paraId="1FFA1F4B" w14:textId="1CCA1B00" w:rsidR="007A6FCB" w:rsidRPr="00D22774" w:rsidRDefault="007A6FCB" w:rsidP="00030A38">
      <w:pPr>
        <w:numPr>
          <w:ilvl w:val="0"/>
          <w:numId w:val="40"/>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технологічне оновлення та розвиток агропромислового комплексу;</w:t>
      </w:r>
    </w:p>
    <w:p w14:paraId="598F3538" w14:textId="107A8EEB" w:rsidR="007A6FCB" w:rsidRPr="00D22774" w:rsidRDefault="007A6FCB" w:rsidP="00030A38">
      <w:pPr>
        <w:numPr>
          <w:ilvl w:val="0"/>
          <w:numId w:val="40"/>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упровадження нових технологій та обладнання для якісного медичного обслуговування, лікування, фармацевтики;</w:t>
      </w:r>
    </w:p>
    <w:p w14:paraId="65F98F4A" w14:textId="77777777" w:rsidR="007A6FCB" w:rsidRPr="00D22774" w:rsidRDefault="007A6FCB" w:rsidP="00030A38">
      <w:pPr>
        <w:numPr>
          <w:ilvl w:val="0"/>
          <w:numId w:val="40"/>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широке застосування технологій більш чистого виробництва та охорони навколишнього природного середовища;</w:t>
      </w:r>
    </w:p>
    <w:p w14:paraId="31FB03F1" w14:textId="48C97E86" w:rsidR="007A6FCB" w:rsidRPr="00D22774" w:rsidRDefault="007A6FCB" w:rsidP="00030A38">
      <w:pPr>
        <w:numPr>
          <w:ilvl w:val="0"/>
          <w:numId w:val="40"/>
        </w:numPr>
        <w:adjustRightInd w:val="0"/>
        <w:snapToGrid w:val="0"/>
        <w:spacing w:after="0" w:line="240" w:lineRule="auto"/>
        <w:ind w:left="0" w:firstLine="567"/>
        <w:jc w:val="both"/>
        <w:rPr>
          <w:rFonts w:ascii="Times New Roman" w:hAnsi="Times New Roman" w:cs="Times New Roman"/>
          <w:sz w:val="20"/>
          <w:szCs w:val="20"/>
        </w:rPr>
      </w:pPr>
      <w:r w:rsidRPr="00D22774">
        <w:rPr>
          <w:rFonts w:ascii="Times New Roman" w:hAnsi="Times New Roman" w:cs="Times New Roman"/>
          <w:sz w:val="20"/>
          <w:szCs w:val="20"/>
        </w:rPr>
        <w:t>розвиток сучасних інформаційних, комунікаційних технологій, робототехніки.</w:t>
      </w:r>
    </w:p>
    <w:p w14:paraId="3E5F050B" w14:textId="7C03490D" w:rsidR="007A6FCB" w:rsidRPr="00D22774" w:rsidRDefault="007A6FCB" w:rsidP="003D5F00">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Україна володіє значним потенціалом динамічного зростання внутрішнього ринку за кожним з відзначених інноваційних сегментів та успішно формує розвинену інституційну інфраструктуру щодо державного сприяння інноваційному розвитку економіки. Але й досі залишається проблемними питання поглиблення економічної кризи, ескалації дій на Сході країни, а отже,</w:t>
      </w:r>
      <w:r w:rsidR="003D5F00" w:rsidRPr="00D22774">
        <w:rPr>
          <w:rFonts w:ascii="Times New Roman" w:hAnsi="Times New Roman" w:cs="Times New Roman"/>
          <w:sz w:val="20"/>
          <w:szCs w:val="20"/>
        </w:rPr>
        <w:t xml:space="preserve"> </w:t>
      </w:r>
      <w:r w:rsidRPr="00D22774">
        <w:rPr>
          <w:rFonts w:ascii="Times New Roman" w:hAnsi="Times New Roman" w:cs="Times New Roman"/>
          <w:sz w:val="20"/>
          <w:szCs w:val="20"/>
        </w:rPr>
        <w:t>підкріплення інноваційного шляху розвитку держави відповідним фінансуванням. За офіційними даними, до початку кризи обсяги витрат на інноваційну діяльність у 2012 р. порівняно з 2005 р. зросли вдвічі.</w:t>
      </w:r>
    </w:p>
    <w:p w14:paraId="5E5157BA" w14:textId="619D1B63" w:rsidR="007A6FCB" w:rsidRPr="00D22774" w:rsidRDefault="007A6FCB" w:rsidP="0012192B">
      <w:pPr>
        <w:adjustRightInd w:val="0"/>
        <w:snapToGrid w:val="0"/>
        <w:spacing w:after="0" w:line="240" w:lineRule="auto"/>
        <w:ind w:firstLine="567"/>
        <w:jc w:val="both"/>
        <w:rPr>
          <w:rFonts w:ascii="Times New Roman" w:hAnsi="Times New Roman" w:cs="Times New Roman"/>
          <w:b/>
          <w:sz w:val="20"/>
          <w:szCs w:val="20"/>
        </w:rPr>
      </w:pPr>
      <w:r w:rsidRPr="00D22774">
        <w:rPr>
          <w:rFonts w:ascii="Times New Roman" w:hAnsi="Times New Roman" w:cs="Times New Roman"/>
          <w:sz w:val="20"/>
          <w:szCs w:val="20"/>
        </w:rPr>
        <w:t xml:space="preserve">Водночас, незважаючи на певну позитивну динаміку, в Україні показники інноваційного розвитку відстають від аналогічних світових значень. Так, у провідних країнах – США, Японії, Німеччині й Франції – частка інноваційно-активних підприємств коливається в межах 70-80 %; </w:t>
      </w:r>
      <w:r w:rsidRPr="00D22774">
        <w:rPr>
          <w:rFonts w:ascii="Times New Roman" w:hAnsi="Times New Roman" w:cs="Times New Roman"/>
          <w:b/>
          <w:sz w:val="20"/>
          <w:szCs w:val="20"/>
        </w:rPr>
        <w:t>у країнах ЄС-27 частка підприємств, що впроваджують інновації, учетверо більша ніж в Україні.</w:t>
      </w:r>
    </w:p>
    <w:p w14:paraId="255FCC2E" w14:textId="77777777" w:rsidR="009E4740" w:rsidRPr="00C37F1C" w:rsidRDefault="007A6FCB" w:rsidP="00113D1E">
      <w:pPr>
        <w:adjustRightInd w:val="0"/>
        <w:snapToGrid w:val="0"/>
        <w:spacing w:after="0" w:line="240" w:lineRule="auto"/>
        <w:ind w:firstLine="567"/>
        <w:jc w:val="both"/>
        <w:rPr>
          <w:rFonts w:ascii="Times New Roman" w:hAnsi="Times New Roman" w:cs="Times New Roman"/>
          <w:sz w:val="20"/>
          <w:szCs w:val="20"/>
        </w:rPr>
      </w:pPr>
      <w:r w:rsidRPr="00D22774">
        <w:rPr>
          <w:rFonts w:ascii="Times New Roman" w:hAnsi="Times New Roman" w:cs="Times New Roman"/>
          <w:sz w:val="20"/>
          <w:szCs w:val="20"/>
        </w:rPr>
        <w:t xml:space="preserve">Аналіз субіндексів </w:t>
      </w:r>
      <w:r w:rsidRPr="00D22774">
        <w:rPr>
          <w:rFonts w:ascii="Times New Roman" w:hAnsi="Times New Roman" w:cs="Times New Roman"/>
          <w:b/>
          <w:sz w:val="20"/>
          <w:szCs w:val="20"/>
        </w:rPr>
        <w:t xml:space="preserve">глобального індексу інновацій </w:t>
      </w:r>
      <w:r w:rsidRPr="00D22774">
        <w:rPr>
          <w:rFonts w:ascii="Times New Roman" w:hAnsi="Times New Roman" w:cs="Times New Roman"/>
          <w:sz w:val="20"/>
          <w:szCs w:val="20"/>
        </w:rPr>
        <w:t>(у реаліях докризового періоду) свідчить, що основними недоліками, які заважають інноваційному розвитку України, є недостатня ефективність державного управління (124 місце у світі) і регуляторного контролю (113), низька якість верховенства</w:t>
      </w:r>
      <w:r w:rsidR="00FB3005" w:rsidRPr="00D22774">
        <w:rPr>
          <w:rFonts w:ascii="Times New Roman" w:hAnsi="Times New Roman" w:cs="Times New Roman"/>
          <w:sz w:val="20"/>
          <w:szCs w:val="20"/>
        </w:rPr>
        <w:t xml:space="preserve"> </w:t>
      </w:r>
      <w:r w:rsidRPr="00D22774">
        <w:rPr>
          <w:rFonts w:ascii="Times New Roman" w:hAnsi="Times New Roman" w:cs="Times New Roman"/>
          <w:sz w:val="20"/>
          <w:szCs w:val="20"/>
        </w:rPr>
        <w:t xml:space="preserve">права (117), несприятливе бізнес-середовище (127), ускладнений режим сплати податків та банкрутства підприємств (125 та 135 відповідно), недостатня енергоефективність та екологічність виробництв (119 та 97 відповідно), низькі темпи формування капіталів (108), недостатній рівень </w:t>
      </w:r>
      <w:r w:rsidRPr="00D22774">
        <w:rPr>
          <w:rFonts w:ascii="Times New Roman" w:hAnsi="Times New Roman" w:cs="Times New Roman"/>
          <w:sz w:val="20"/>
          <w:szCs w:val="20"/>
        </w:rPr>
        <w:lastRenderedPageBreak/>
        <w:t xml:space="preserve">конкуренції на внутрішньому ринку (101 та 82 відповідно), низький рівень розвитку кластерів (110) та ін. </w:t>
      </w:r>
      <w:r w:rsidRPr="00D22774">
        <w:rPr>
          <w:rFonts w:ascii="Times New Roman" w:hAnsi="Times New Roman" w:cs="Times New Roman"/>
          <w:b/>
          <w:sz w:val="20"/>
          <w:szCs w:val="20"/>
        </w:rPr>
        <w:t>за оцінками експертів</w:t>
      </w:r>
      <w:r w:rsidRPr="00D22774">
        <w:rPr>
          <w:rFonts w:ascii="Times New Roman" w:hAnsi="Times New Roman" w:cs="Times New Roman"/>
          <w:sz w:val="20"/>
          <w:szCs w:val="20"/>
        </w:rPr>
        <w:t>, інноваційна діяльність в Україні потребує міжгалузевого технологічного обміну, зміцнення зв'язків компаній з університетами та науково-дослідними інститутами, розвитку міжнародної науково-технічної кооперації, венчурного інвестування в нові прогресивні розробки, створення інноваційної інфраструктури, широкого застосування інформаційних технологій тощо. Усе вищезазначене свідчить про курс України на інноваційну спроможність та нарощування інноваційного потенціалу за сприяння та активізації бізнес-середовища</w:t>
      </w:r>
      <w:r w:rsidRPr="00C37F1C">
        <w:rPr>
          <w:rFonts w:ascii="Times New Roman" w:hAnsi="Times New Roman" w:cs="Times New Roman"/>
          <w:sz w:val="20"/>
          <w:szCs w:val="20"/>
        </w:rPr>
        <w:t>.</w:t>
      </w:r>
    </w:p>
    <w:p w14:paraId="24413150" w14:textId="77777777" w:rsidR="009E4740" w:rsidRPr="00C37F1C" w:rsidRDefault="009E4740">
      <w:pPr>
        <w:rPr>
          <w:rFonts w:ascii="Times New Roman" w:hAnsi="Times New Roman" w:cs="Times New Roman"/>
          <w:sz w:val="20"/>
          <w:szCs w:val="20"/>
        </w:rPr>
      </w:pPr>
      <w:r w:rsidRPr="00C37F1C">
        <w:rPr>
          <w:rFonts w:ascii="Times New Roman" w:hAnsi="Times New Roman" w:cs="Times New Roman"/>
          <w:sz w:val="20"/>
          <w:szCs w:val="20"/>
        </w:rPr>
        <w:br w:type="page"/>
      </w:r>
    </w:p>
    <w:p w14:paraId="366C1DAD" w14:textId="1CE8183A" w:rsidR="009E4740" w:rsidRPr="0029330F" w:rsidRDefault="009E4740" w:rsidP="009E4740">
      <w:pPr>
        <w:adjustRightInd w:val="0"/>
        <w:snapToGrid w:val="0"/>
        <w:spacing w:after="0" w:line="240" w:lineRule="auto"/>
        <w:ind w:firstLine="567"/>
        <w:jc w:val="both"/>
        <w:rPr>
          <w:rFonts w:ascii="Times New Roman" w:hAnsi="Times New Roman" w:cs="Times New Roman"/>
          <w:b/>
          <w:bCs/>
          <w:sz w:val="20"/>
          <w:szCs w:val="20"/>
        </w:rPr>
      </w:pPr>
      <w:r w:rsidRPr="0029330F">
        <w:rPr>
          <w:rFonts w:ascii="Times New Roman" w:hAnsi="Times New Roman" w:cs="Times New Roman"/>
          <w:b/>
          <w:bCs/>
          <w:sz w:val="20"/>
          <w:szCs w:val="20"/>
        </w:rPr>
        <w:lastRenderedPageBreak/>
        <w:t xml:space="preserve">Тема 4. </w:t>
      </w:r>
      <w:r w:rsidR="0029330F" w:rsidRPr="0029330F">
        <w:rPr>
          <w:rFonts w:ascii="Times New Roman" w:hAnsi="Times New Roman" w:cs="Times New Roman"/>
          <w:b/>
          <w:bCs/>
          <w:sz w:val="20"/>
          <w:szCs w:val="20"/>
        </w:rPr>
        <w:t>«Зелені» інновації</w:t>
      </w:r>
    </w:p>
    <w:p w14:paraId="14D2AA96" w14:textId="5313B74E" w:rsidR="009E4740" w:rsidRPr="009E4740" w:rsidRDefault="009E4740" w:rsidP="009E4740">
      <w:pPr>
        <w:adjustRightInd w:val="0"/>
        <w:snapToGrid w:val="0"/>
        <w:spacing w:after="0" w:line="240" w:lineRule="auto"/>
        <w:ind w:firstLine="567"/>
        <w:jc w:val="both"/>
        <w:rPr>
          <w:rFonts w:ascii="Times New Roman" w:hAnsi="Times New Roman" w:cs="Times New Roman"/>
          <w:sz w:val="20"/>
          <w:szCs w:val="20"/>
        </w:rPr>
      </w:pPr>
      <w:r w:rsidRPr="009E4740">
        <w:rPr>
          <w:rFonts w:ascii="Times New Roman" w:hAnsi="Times New Roman" w:cs="Times New Roman"/>
          <w:sz w:val="20"/>
          <w:szCs w:val="20"/>
        </w:rPr>
        <w:t xml:space="preserve">Під </w:t>
      </w:r>
      <w:r w:rsidRPr="009E4740">
        <w:rPr>
          <w:rFonts w:ascii="Times New Roman" w:hAnsi="Times New Roman" w:cs="Times New Roman"/>
          <w:b/>
          <w:bCs/>
          <w:sz w:val="20"/>
          <w:szCs w:val="20"/>
        </w:rPr>
        <w:t>зеленими інноваціями розуміємо нововведення, технології, продукти або практики, які спрямовані на зниження негативного впливу на довкілля і підвищення сталості.</w:t>
      </w:r>
      <w:r w:rsidRPr="009E4740">
        <w:rPr>
          <w:rFonts w:ascii="Times New Roman" w:hAnsi="Times New Roman" w:cs="Times New Roman"/>
          <w:sz w:val="20"/>
          <w:szCs w:val="20"/>
        </w:rPr>
        <w:t xml:space="preserve"> Вони передбачають розвиток нових або поліпшення існуючих процесів з метою зменшення використання природних ресурсів, зниження викидів шкідливих речовин, збільшення енергоефективності, поліпшення управління відходами та сприяння відновлюваній енергетиці.</w:t>
      </w:r>
    </w:p>
    <w:p w14:paraId="70E70ADD" w14:textId="77777777" w:rsidR="009E4740" w:rsidRPr="009E4740" w:rsidRDefault="009E4740" w:rsidP="009E4740">
      <w:pPr>
        <w:adjustRightInd w:val="0"/>
        <w:snapToGrid w:val="0"/>
        <w:spacing w:after="0" w:line="240" w:lineRule="auto"/>
        <w:ind w:firstLine="567"/>
        <w:jc w:val="both"/>
        <w:rPr>
          <w:rFonts w:ascii="Times New Roman" w:hAnsi="Times New Roman" w:cs="Times New Roman"/>
          <w:sz w:val="20"/>
          <w:szCs w:val="20"/>
        </w:rPr>
      </w:pPr>
      <w:r w:rsidRPr="009E4740">
        <w:rPr>
          <w:rFonts w:ascii="Times New Roman" w:hAnsi="Times New Roman" w:cs="Times New Roman"/>
          <w:sz w:val="20"/>
          <w:szCs w:val="20"/>
        </w:rPr>
        <w:t>Зелена економіка позитивно впливає на управління підприємством, зокрема, через: зменшення питомих витрат на споживання ресурсів; модернізацію виробництва; отримання додаткових доходів на основі використання наявних ресурсів (за рахунок утилізації відходів); підвищення якості та конкурентоспроможності продукції; можливість користуватися державними пільгами; диверсифікацію структури активів і зниження стратегічних ризиків, пов’язаних з традиційним виробництвом. Еко-інновації є сучасним інструментом, що дозволяє компаніям знижувати витрати та входити на нові ринки, що сприяє їх прибутковості. Компанії, які успішно впроваджують еко-інновації, збільшують свої інвестиції у дослідження та розробку інших екологічних інновацій, сприяють інноваційному процесу та економічному зростанню, стають лідерами у своєму ринковому сегменті та займають конкурентні позиції на світовому ринку. Перевагою еко-інновацій є поєднання інструментарію інноваційної та екологічної політики, що забезпечує на практиці більш тісну взаємодію економіки та природного середовища та прискорює появу нових, інколи нестандартних рішень та бізнес-моделей для задіяння нових джерел створення вартості в умовах ресурсних обмежень.</w:t>
      </w:r>
    </w:p>
    <w:p w14:paraId="6A98C056" w14:textId="77777777" w:rsidR="009E4740" w:rsidRPr="009E4740" w:rsidRDefault="009E4740" w:rsidP="009E4740">
      <w:pPr>
        <w:adjustRightInd w:val="0"/>
        <w:snapToGrid w:val="0"/>
        <w:spacing w:after="0" w:line="240" w:lineRule="auto"/>
        <w:ind w:firstLine="567"/>
        <w:jc w:val="both"/>
        <w:rPr>
          <w:rFonts w:ascii="Times New Roman" w:hAnsi="Times New Roman" w:cs="Times New Roman"/>
          <w:sz w:val="20"/>
          <w:szCs w:val="20"/>
        </w:rPr>
      </w:pPr>
      <w:r w:rsidRPr="009E4740">
        <w:rPr>
          <w:rFonts w:ascii="Times New Roman" w:hAnsi="Times New Roman" w:cs="Times New Roman"/>
          <w:sz w:val="20"/>
          <w:szCs w:val="20"/>
        </w:rPr>
        <w:t xml:space="preserve">Зелені інновації є важливим каталізатором, який впливає на різні аспекти управління підприємством. </w:t>
      </w:r>
      <w:r w:rsidRPr="009E4740">
        <w:rPr>
          <w:rFonts w:ascii="Times New Roman" w:hAnsi="Times New Roman" w:cs="Times New Roman"/>
          <w:b/>
          <w:bCs/>
          <w:sz w:val="20"/>
          <w:szCs w:val="20"/>
        </w:rPr>
        <w:t>Зелені інновації мають позитивний вплив на зростання конкурентної переваги підприємства; існує значний зв’язок між тиском споживачів і екологічними інноваціями; між державним регулюванням і зеленими інноваціями існує значний зв’язок; зелені інновації позитивно впливають на якість взаємодії із постачальниками (зовнішнє середовище), керівниками підприємства та працівниками (внутрішнє середовище); існує значний тісний зв'язок між зеленими інноваціями та соціальною, екологічною та економічною ефективністю.</w:t>
      </w:r>
    </w:p>
    <w:p w14:paraId="01178D6B" w14:textId="77777777" w:rsidR="009E4740" w:rsidRPr="009E4740" w:rsidRDefault="009E4740" w:rsidP="009E4740">
      <w:pPr>
        <w:adjustRightInd w:val="0"/>
        <w:snapToGrid w:val="0"/>
        <w:spacing w:after="0" w:line="240" w:lineRule="auto"/>
        <w:ind w:firstLine="567"/>
        <w:jc w:val="both"/>
        <w:rPr>
          <w:rFonts w:ascii="Times New Roman" w:hAnsi="Times New Roman" w:cs="Times New Roman"/>
          <w:sz w:val="20"/>
          <w:szCs w:val="20"/>
        </w:rPr>
      </w:pPr>
      <w:r w:rsidRPr="009E4740">
        <w:rPr>
          <w:rFonts w:ascii="Times New Roman" w:hAnsi="Times New Roman" w:cs="Times New Roman"/>
          <w:sz w:val="20"/>
          <w:szCs w:val="20"/>
        </w:rPr>
        <w:t xml:space="preserve">Щодо першої гіпотези стосовно позитивного впливу зелених інновацій на зростання конкурентної переваги підприємства, зазначимо, що дослідники вважають, що такі види діяльності, як впровадження зелених технологій, зрештою сприятимуть процесу розвитку країн і підвищать конкурентоспроможність підприємств. Зокрема, було проведено дослідження впливу зелених інновацій на конкурентну перевагу на основі даних 162 компаній. Згідно з результатами кореляційного та регресійного аналізів, </w:t>
      </w:r>
      <w:r w:rsidRPr="009E4740">
        <w:rPr>
          <w:rFonts w:ascii="Times New Roman" w:hAnsi="Times New Roman" w:cs="Times New Roman"/>
          <w:sz w:val="20"/>
          <w:szCs w:val="20"/>
        </w:rPr>
        <w:lastRenderedPageBreak/>
        <w:t>автори виявили, що зелені інновації впливають як на екологічні показники, так і на конкурентні переваги компанії. Це дослідження показує, що екологічні компанії мають набагато більшу конкурентну перевагу, ніж інші.</w:t>
      </w:r>
    </w:p>
    <w:p w14:paraId="7F99041B" w14:textId="77777777" w:rsidR="009E4740" w:rsidRPr="009E4740" w:rsidRDefault="009E4740" w:rsidP="009E4740">
      <w:pPr>
        <w:adjustRightInd w:val="0"/>
        <w:snapToGrid w:val="0"/>
        <w:spacing w:after="0" w:line="240" w:lineRule="auto"/>
        <w:ind w:firstLine="567"/>
        <w:jc w:val="both"/>
        <w:rPr>
          <w:rFonts w:ascii="Times New Roman" w:hAnsi="Times New Roman" w:cs="Times New Roman"/>
          <w:sz w:val="20"/>
          <w:szCs w:val="20"/>
        </w:rPr>
      </w:pPr>
      <w:r w:rsidRPr="009E4740">
        <w:rPr>
          <w:rFonts w:ascii="Times New Roman" w:hAnsi="Times New Roman" w:cs="Times New Roman"/>
          <w:sz w:val="20"/>
          <w:szCs w:val="20"/>
        </w:rPr>
        <w:t>Крім того, впровадження зелених інновацій може допомогти фірмам отримати краще уявлення про довгострокове планування та цілісне уявлення про виробництво, якість, навколишнє середовище, робочі стосунки, людські ресурси, відновлювані матеріали та енергетичні ресурси і отримання прибутку.</w:t>
      </w:r>
    </w:p>
    <w:p w14:paraId="2C3F6F88" w14:textId="77777777" w:rsidR="009E4740" w:rsidRPr="009E4740" w:rsidRDefault="009E4740" w:rsidP="009E4740">
      <w:pPr>
        <w:adjustRightInd w:val="0"/>
        <w:snapToGrid w:val="0"/>
        <w:spacing w:after="0" w:line="240" w:lineRule="auto"/>
        <w:ind w:firstLine="567"/>
        <w:jc w:val="both"/>
        <w:rPr>
          <w:rFonts w:ascii="Times New Roman" w:hAnsi="Times New Roman" w:cs="Times New Roman"/>
          <w:sz w:val="20"/>
          <w:szCs w:val="20"/>
        </w:rPr>
      </w:pPr>
      <w:r w:rsidRPr="009E4740">
        <w:rPr>
          <w:rFonts w:ascii="Times New Roman" w:hAnsi="Times New Roman" w:cs="Times New Roman"/>
          <w:sz w:val="20"/>
          <w:szCs w:val="20"/>
        </w:rPr>
        <w:t>Щодо другої гіпотези стосовно значного зв’язку між тиском споживачів і екологічними інноваціями, то клієнти можуть вимагати, щоб постачальники дотримувалися практик управління навколишнім середовищем або стандартних процедур для покращення екологічних показників. Клієнти можуть вимагати, щоб їхні постачальники надавали перевагу просуванню зелених інноваційних ресурсів. Крім того, клієнти є ключовою силою в заохоченні інновацій та покращенні якості постачальників. У результаті це змушує компанію впроваджувати інновації та застосовувати екологічно стійкі практики. Постачальники повинні підтримувати вимоги клієнтів, щоб зберегти свою репутацію. У результаті дослідники вважають, що тиск споживачів є значною рушійною силою екологічних інновацій. Згідно з нещодавнім дослідженням, тиск зацікавлених сторін з боку клієнтів є найпотужнішим фактором прийняття екологічних проєктів. Таким чином, організація відчуватиме тиск з боку клієнтури, щоб прийняти екологічні інновації. Ініціатива фірми в управлінні своїм екологічним іміджем підвищить довіру клієнтів і лояльність до фірми. Під тиском споживачів, які все більше проявляють зацікавленість у збереженні навколишнього середовища та покупців, що готові віддати перевагу екологічно чистим та сталим продуктам, підприємства відчувають потребу у впровадженні екологічних інновацій. Погляди зацікавлених сторін щодо екологічних інновацій як основного двигуна є важливими. У результаті увага різних зацікавлених сторін, як внутрішніх, так і зовнішніх, таких як уподобання споживачів і власників компаній, постачальників і державні вимоги, впливає на організацію через використання нею зелених можливостей і практик.</w:t>
      </w:r>
    </w:p>
    <w:p w14:paraId="18A66CD4" w14:textId="77777777" w:rsidR="009E4740" w:rsidRPr="009E4740" w:rsidRDefault="009E4740" w:rsidP="009E4740">
      <w:pPr>
        <w:adjustRightInd w:val="0"/>
        <w:snapToGrid w:val="0"/>
        <w:spacing w:after="0" w:line="240" w:lineRule="auto"/>
        <w:ind w:firstLine="567"/>
        <w:jc w:val="both"/>
        <w:rPr>
          <w:rFonts w:ascii="Times New Roman" w:hAnsi="Times New Roman" w:cs="Times New Roman"/>
          <w:sz w:val="20"/>
          <w:szCs w:val="20"/>
        </w:rPr>
      </w:pPr>
      <w:r w:rsidRPr="009E4740">
        <w:rPr>
          <w:rFonts w:ascii="Times New Roman" w:hAnsi="Times New Roman" w:cs="Times New Roman"/>
          <w:sz w:val="20"/>
          <w:szCs w:val="20"/>
        </w:rPr>
        <w:t>Щодо третьої гіпотези стосовно зв’язку між державним регулюванням і зеленими інноваціями, то державні політики, нормативи і законодавство можуть впливати на розвиток та поширення зелених інновацій у різних сферах економіки і суспільства. Ось декілька способів, якими державне регулювання впливає на зелені інновації: фінансова підтримка; регуляторні стандарти; ринкові механізми; управління інноваціями.</w:t>
      </w:r>
    </w:p>
    <w:p w14:paraId="43A9D23D" w14:textId="77777777" w:rsidR="009E4740" w:rsidRPr="009E4740" w:rsidRDefault="009E4740" w:rsidP="009E4740">
      <w:pPr>
        <w:adjustRightInd w:val="0"/>
        <w:snapToGrid w:val="0"/>
        <w:spacing w:after="0" w:line="240" w:lineRule="auto"/>
        <w:ind w:firstLine="567"/>
        <w:jc w:val="both"/>
        <w:rPr>
          <w:rFonts w:ascii="Times New Roman" w:hAnsi="Times New Roman" w:cs="Times New Roman"/>
          <w:sz w:val="20"/>
          <w:szCs w:val="20"/>
        </w:rPr>
      </w:pPr>
      <w:r w:rsidRPr="009E4740">
        <w:rPr>
          <w:rFonts w:ascii="Times New Roman" w:hAnsi="Times New Roman" w:cs="Times New Roman"/>
          <w:sz w:val="20"/>
          <w:szCs w:val="20"/>
        </w:rPr>
        <w:t xml:space="preserve">Щодо четвертої гіпотези, то зелені інновації можуть позитивно впливати на якість взаємодії з постачальниками (зовнішнє середовище), керівниками підприємства та працівниками (внутрішнє середовище). Зелені інновації позитивно впливають на якість взаємодії з постачальниками, сприяючи покращенню комунікації, спільній роботі та довірі між підприємствами та їх постачальниками. Вони стимулюють розвиток стійких </w:t>
      </w:r>
      <w:r w:rsidRPr="009E4740">
        <w:rPr>
          <w:rFonts w:ascii="Times New Roman" w:hAnsi="Times New Roman" w:cs="Times New Roman"/>
          <w:sz w:val="20"/>
          <w:szCs w:val="20"/>
        </w:rPr>
        <w:lastRenderedPageBreak/>
        <w:t>відносин, сприяють обміну знаннями та інноваціями, а також забезпечують підтримку та співпрацю в управлінні довірою та ризиками. Зелені інновації можуть сприяти впровадженню стандартів та вимог щодо екологічності у ланцюзі постачання. Це дозволяє забезпечити сталість та відповідність постачальників зеленим принципам, що може поліпшити якість співпраці із ними.</w:t>
      </w:r>
    </w:p>
    <w:p w14:paraId="64F3441A" w14:textId="77777777" w:rsidR="009E4740" w:rsidRPr="009E4740" w:rsidRDefault="009E4740" w:rsidP="009E4740">
      <w:pPr>
        <w:adjustRightInd w:val="0"/>
        <w:snapToGrid w:val="0"/>
        <w:spacing w:after="0" w:line="240" w:lineRule="auto"/>
        <w:ind w:firstLine="567"/>
        <w:jc w:val="both"/>
        <w:rPr>
          <w:rFonts w:ascii="Times New Roman" w:hAnsi="Times New Roman" w:cs="Times New Roman"/>
          <w:sz w:val="20"/>
          <w:szCs w:val="20"/>
        </w:rPr>
      </w:pPr>
      <w:r w:rsidRPr="009E4740">
        <w:rPr>
          <w:rFonts w:ascii="Times New Roman" w:hAnsi="Times New Roman" w:cs="Times New Roman"/>
          <w:sz w:val="20"/>
          <w:szCs w:val="20"/>
        </w:rPr>
        <w:t>Зелені інновації можуть зменшити екологічний слід продукції або послуги, зменшуючи використання ресурсів, знижуючи викиди шкідливих речовин або пропонуючи більш ефективні альтернативи. Це може створювати конкурентну перевагу для підприємств та сприяти покращенню відносин з постачальниками.</w:t>
      </w:r>
    </w:p>
    <w:p w14:paraId="63888065" w14:textId="77777777" w:rsidR="009E4740" w:rsidRPr="009E4740" w:rsidRDefault="009E4740" w:rsidP="009E4740">
      <w:pPr>
        <w:adjustRightInd w:val="0"/>
        <w:snapToGrid w:val="0"/>
        <w:spacing w:after="0" w:line="240" w:lineRule="auto"/>
        <w:ind w:firstLine="567"/>
        <w:jc w:val="both"/>
        <w:rPr>
          <w:rFonts w:ascii="Times New Roman" w:hAnsi="Times New Roman" w:cs="Times New Roman"/>
          <w:sz w:val="20"/>
          <w:szCs w:val="20"/>
        </w:rPr>
      </w:pPr>
      <w:r w:rsidRPr="009E4740">
        <w:rPr>
          <w:rFonts w:ascii="Times New Roman" w:hAnsi="Times New Roman" w:cs="Times New Roman"/>
          <w:sz w:val="20"/>
          <w:szCs w:val="20"/>
        </w:rPr>
        <w:t>Зелені інновації також можуть впливати на стратегічне управління підприємством, стимулюючи включення екологічних аспектів у бізнес-стратегії. Це може привести до зміни корпоративної культури, спрямованої на сталість, екологічну відповідальність та інновації. Окрім того, зелені інновації можуть сприяти розширенню ринків та відкриттю нових можливостей для бізнесу. Підприємства, які впроваджують зелені рішення, можуть привертати більше клієнтів, які цінують екологічну відповідальність, та залучати інвестиції зеленого капіталу.</w:t>
      </w:r>
    </w:p>
    <w:p w14:paraId="06B29290" w14:textId="77777777" w:rsidR="009E4740" w:rsidRPr="009E4740" w:rsidRDefault="009E4740" w:rsidP="009E4740">
      <w:pPr>
        <w:adjustRightInd w:val="0"/>
        <w:snapToGrid w:val="0"/>
        <w:spacing w:after="0" w:line="240" w:lineRule="auto"/>
        <w:ind w:firstLine="567"/>
        <w:jc w:val="both"/>
        <w:rPr>
          <w:rFonts w:ascii="Times New Roman" w:hAnsi="Times New Roman" w:cs="Times New Roman"/>
          <w:sz w:val="20"/>
          <w:szCs w:val="20"/>
        </w:rPr>
      </w:pPr>
      <w:r w:rsidRPr="009E4740">
        <w:rPr>
          <w:rFonts w:ascii="Times New Roman" w:hAnsi="Times New Roman" w:cs="Times New Roman"/>
          <w:sz w:val="20"/>
          <w:szCs w:val="20"/>
        </w:rPr>
        <w:t>Впровадження зелених інновацій є також важливим аспектом управління людськими ресурсами. Зокрема, зелені інновації можуть сприяти залученню та утриманню талановитих працівників. Зелені робочі системи, включаючи зелені практики управління працею, створюють позитивне робоче середовище та підвищують залученість працівників. Вони сприяють відчуттю задоволення та важливості роботи, підтримують міжособистісні взаємини та стимулюють співпрацю та інновації серед працівників. Багато людей мають обізнаність щодо проблем екології та бажання працювати в компаніях, які впроваджують екологічні рішення та принципи сталого розвитку. Зелені інновації можуть створювати нові можливості для розвитку та професійного зростання працівників. Впровадження нових зелених технологій та практик може вимагати нових навичок та знань, що стимулює працівників до саморозвитку та впровадження інновацій.</w:t>
      </w:r>
    </w:p>
    <w:p w14:paraId="0BAD590F" w14:textId="77777777" w:rsidR="009E4740" w:rsidRPr="009E4740" w:rsidRDefault="009E4740" w:rsidP="009E4740">
      <w:pPr>
        <w:adjustRightInd w:val="0"/>
        <w:snapToGrid w:val="0"/>
        <w:spacing w:after="0" w:line="240" w:lineRule="auto"/>
        <w:ind w:firstLine="567"/>
        <w:jc w:val="both"/>
        <w:rPr>
          <w:rFonts w:ascii="Times New Roman" w:hAnsi="Times New Roman" w:cs="Times New Roman"/>
          <w:sz w:val="20"/>
          <w:szCs w:val="20"/>
        </w:rPr>
      </w:pPr>
      <w:r w:rsidRPr="009E4740">
        <w:rPr>
          <w:rFonts w:ascii="Times New Roman" w:hAnsi="Times New Roman" w:cs="Times New Roman"/>
          <w:sz w:val="20"/>
          <w:szCs w:val="20"/>
        </w:rPr>
        <w:t>Щодо останньої гіпотези, то значний тісний зв'язок між зеленими інноваціями та соціальною, екологічною та економічною ефективністю підприємств підтверджують багато науковців. Зелені інновації, спрямовані на зменшення негативного впливу на навколишнє середовище та сприяння сталому розвитку, можуть мати численні переваги для підприємств у різних аспектах.</w:t>
      </w:r>
    </w:p>
    <w:p w14:paraId="143E5783" w14:textId="77777777" w:rsidR="009E4740" w:rsidRPr="009E4740" w:rsidRDefault="009E4740" w:rsidP="009E4740">
      <w:pPr>
        <w:adjustRightInd w:val="0"/>
        <w:snapToGrid w:val="0"/>
        <w:spacing w:after="0" w:line="240" w:lineRule="auto"/>
        <w:ind w:firstLine="567"/>
        <w:jc w:val="both"/>
        <w:rPr>
          <w:rFonts w:ascii="Times New Roman" w:hAnsi="Times New Roman" w:cs="Times New Roman"/>
          <w:sz w:val="20"/>
          <w:szCs w:val="20"/>
        </w:rPr>
      </w:pPr>
      <w:r w:rsidRPr="009E4740">
        <w:rPr>
          <w:rFonts w:ascii="Times New Roman" w:hAnsi="Times New Roman" w:cs="Times New Roman"/>
          <w:sz w:val="20"/>
          <w:szCs w:val="20"/>
        </w:rPr>
        <w:t>Загалом, зелені інновації мають потенціал покращити соціальну, екологічну та економічну ефективність підприємств. Вони допомагають розвивати сталі бізнес-моделі, зменшують ризики негативного впливу на довкілля та сприяють створенню більш стійкого та ефективного економічного середовища.</w:t>
      </w:r>
    </w:p>
    <w:p w14:paraId="36B005DF" w14:textId="77777777" w:rsidR="009E4740" w:rsidRPr="009E4740" w:rsidRDefault="009E4740" w:rsidP="009E4740">
      <w:pPr>
        <w:adjustRightInd w:val="0"/>
        <w:snapToGrid w:val="0"/>
        <w:spacing w:after="0" w:line="240" w:lineRule="auto"/>
        <w:ind w:firstLine="567"/>
        <w:jc w:val="both"/>
        <w:rPr>
          <w:rFonts w:ascii="Times New Roman" w:hAnsi="Times New Roman" w:cs="Times New Roman"/>
          <w:sz w:val="20"/>
          <w:szCs w:val="20"/>
        </w:rPr>
      </w:pPr>
      <w:r w:rsidRPr="009E4740">
        <w:rPr>
          <w:rFonts w:ascii="Times New Roman" w:hAnsi="Times New Roman" w:cs="Times New Roman"/>
          <w:sz w:val="20"/>
          <w:szCs w:val="20"/>
        </w:rPr>
        <w:lastRenderedPageBreak/>
        <w:t>Зелені інновації позитивно впливають на систему управління підприємства шляхом забезпечення енергоефективності, зменшення викидів, управління відходами, екологічної логістики, досягнення сталості та відповідальності. Зокрема, зелені інновації спрямовані на ефективне використання енергії, зменшення витрат на електроенергію та споживання ресурсів. Це може включати впровадження нових технологій освітлення, оптимізацію процесів опалення та охолодження, використання альтернативних джерел енергії тощо. Окрім того, зелені інновації допомагають підприємствам знижувати викиди шкідливих та забруднюючих речовин в атмосферу, водні джерела та ґрунт. Це може бути досягнуто за допомогою впровадження чистих технологій, переходу на відновлювані джерела енергії, оптимізації процесів виробництва та використання більш екологічних матеріалів.</w:t>
      </w:r>
    </w:p>
    <w:p w14:paraId="19DE0837" w14:textId="77777777" w:rsidR="009E4740" w:rsidRPr="009E4740" w:rsidRDefault="009E4740" w:rsidP="009E4740">
      <w:pPr>
        <w:adjustRightInd w:val="0"/>
        <w:snapToGrid w:val="0"/>
        <w:spacing w:after="0" w:line="240" w:lineRule="auto"/>
        <w:ind w:firstLine="567"/>
        <w:jc w:val="both"/>
        <w:rPr>
          <w:rFonts w:ascii="Times New Roman" w:hAnsi="Times New Roman" w:cs="Times New Roman"/>
          <w:sz w:val="20"/>
          <w:szCs w:val="20"/>
        </w:rPr>
      </w:pPr>
      <w:r w:rsidRPr="009E4740">
        <w:rPr>
          <w:rFonts w:ascii="Times New Roman" w:hAnsi="Times New Roman" w:cs="Times New Roman"/>
          <w:sz w:val="20"/>
          <w:szCs w:val="20"/>
        </w:rPr>
        <w:t>Слід відмітити, що зелені інновації сприяють ефективному управлінню відходами та їх переробленню. Вони можуть включати використання вторинної переробки, біорозкладаючих матеріалів, впровадження систем збору та переробки відходів на місці тощо. Зелені інновації допомагають оптимізувати логістичні процеси підприємства з метою зменшення витрат палива, енергії та викидів CO₂. Це може включати впровадження ефективної маршрутизації, використання екологічних видів транспорту, упакування та оптимізацію поставок.</w:t>
      </w:r>
    </w:p>
    <w:p w14:paraId="75EDF567" w14:textId="77777777" w:rsidR="009E4740" w:rsidRPr="009E4740" w:rsidRDefault="009E4740" w:rsidP="009E4740">
      <w:pPr>
        <w:adjustRightInd w:val="0"/>
        <w:snapToGrid w:val="0"/>
        <w:spacing w:after="0" w:line="240" w:lineRule="auto"/>
        <w:ind w:firstLine="567"/>
        <w:jc w:val="both"/>
        <w:rPr>
          <w:rFonts w:ascii="Times New Roman" w:hAnsi="Times New Roman" w:cs="Times New Roman"/>
          <w:sz w:val="20"/>
          <w:szCs w:val="20"/>
        </w:rPr>
      </w:pPr>
      <w:r w:rsidRPr="009E4740">
        <w:rPr>
          <w:rFonts w:ascii="Times New Roman" w:hAnsi="Times New Roman" w:cs="Times New Roman"/>
          <w:sz w:val="20"/>
          <w:szCs w:val="20"/>
        </w:rPr>
        <w:t>Нарешті, зелені інновації сприяють створенню стійкої бізнес-моделі, в якій підприємство враховує економічні, соціальні та екологічні аспекти. Вони можуть включати екологічні аудити, впровадження системи соціальної відповідальності, взаємодію зі зацікавленими сторонами та залучення співробітників до зелених ініціатив.</w:t>
      </w:r>
    </w:p>
    <w:p w14:paraId="44EC5EF0" w14:textId="77777777" w:rsidR="009E4740" w:rsidRPr="009E4740" w:rsidRDefault="009E4740" w:rsidP="009E4740">
      <w:pPr>
        <w:adjustRightInd w:val="0"/>
        <w:snapToGrid w:val="0"/>
        <w:spacing w:after="0" w:line="240" w:lineRule="auto"/>
        <w:ind w:firstLine="567"/>
        <w:jc w:val="both"/>
        <w:rPr>
          <w:rFonts w:ascii="Times New Roman" w:hAnsi="Times New Roman" w:cs="Times New Roman"/>
          <w:sz w:val="20"/>
          <w:szCs w:val="20"/>
        </w:rPr>
      </w:pPr>
      <w:r w:rsidRPr="009E4740">
        <w:rPr>
          <w:rFonts w:ascii="Times New Roman" w:hAnsi="Times New Roman" w:cs="Times New Roman"/>
          <w:sz w:val="20"/>
          <w:szCs w:val="20"/>
        </w:rPr>
        <w:t>У той час як для великих компаній може бути простіше з фінансової точки зору переходити на екологічно чисті підприємства, невеликі компанії можуть переходити на екологічний рівень у менших масштабах, крок за кроком. Впровадження зелених інновацій дозволяє зробити продукцію екологічною, покращити умови на робочому місці або використати частину прибутку для підтримки екологічних ініціатив.</w:t>
      </w:r>
    </w:p>
    <w:p w14:paraId="3B02F408" w14:textId="77777777" w:rsidR="009E4740" w:rsidRPr="009E4740" w:rsidRDefault="009E4740" w:rsidP="009E4740">
      <w:pPr>
        <w:adjustRightInd w:val="0"/>
        <w:snapToGrid w:val="0"/>
        <w:spacing w:after="0" w:line="240" w:lineRule="auto"/>
        <w:ind w:firstLine="567"/>
        <w:jc w:val="both"/>
        <w:rPr>
          <w:rFonts w:ascii="Times New Roman" w:hAnsi="Times New Roman" w:cs="Times New Roman"/>
          <w:sz w:val="20"/>
          <w:szCs w:val="20"/>
        </w:rPr>
      </w:pPr>
      <w:r w:rsidRPr="009E4740">
        <w:rPr>
          <w:rFonts w:ascii="Times New Roman" w:hAnsi="Times New Roman" w:cs="Times New Roman"/>
          <w:sz w:val="20"/>
          <w:szCs w:val="20"/>
        </w:rPr>
        <w:t>Підсумовуючи, слід зазначити, що зелені інновації впливають на систему управління підприємством, сприяючи переходу до більш ефективних, стійких та екологічно відповідальних практик. Вони допомагають знижувати витрати, забезпечувати довгострокову конкурентоспроможність, залучати нових клієнтів та відповідати вимогам суспільства щодо сталого розвитку. Загалом, зелені інновації можуть позитивно впливати на взаємодію з постачальниками, керівниками підприємства та працівниками, сприяючи сталому розвитку, конкурентоспроможності та екологічній відповідальності підприємств.</w:t>
      </w:r>
    </w:p>
    <w:p w14:paraId="4F12F7B9" w14:textId="6728D35B" w:rsidR="003D5F00" w:rsidRPr="009E4740" w:rsidRDefault="003D5F00" w:rsidP="00113D1E">
      <w:pPr>
        <w:adjustRightInd w:val="0"/>
        <w:snapToGrid w:val="0"/>
        <w:spacing w:after="0" w:line="240" w:lineRule="auto"/>
        <w:ind w:firstLine="567"/>
        <w:jc w:val="both"/>
        <w:rPr>
          <w:rFonts w:ascii="Times New Roman" w:hAnsi="Times New Roman" w:cs="Times New Roman"/>
          <w:sz w:val="20"/>
          <w:szCs w:val="20"/>
        </w:rPr>
      </w:pPr>
      <w:r w:rsidRPr="009E4740">
        <w:rPr>
          <w:rFonts w:ascii="Times New Roman" w:hAnsi="Times New Roman" w:cs="Times New Roman"/>
          <w:sz w:val="20"/>
          <w:szCs w:val="20"/>
        </w:rPr>
        <w:br w:type="page"/>
      </w:r>
    </w:p>
    <w:p w14:paraId="093AB739" w14:textId="03EC68EC" w:rsidR="00323493" w:rsidRPr="00C709A7" w:rsidRDefault="002A1064" w:rsidP="003D2B7D">
      <w:pPr>
        <w:ind w:firstLine="567"/>
        <w:jc w:val="both"/>
        <w:rPr>
          <w:rFonts w:ascii="Times New Roman" w:hAnsi="Times New Roman" w:cs="Times New Roman"/>
          <w:b/>
          <w:bCs/>
          <w:sz w:val="20"/>
          <w:szCs w:val="20"/>
        </w:rPr>
      </w:pPr>
      <w:bookmarkStart w:id="8" w:name="_Hlk221213543"/>
      <w:r w:rsidRPr="00C709A7">
        <w:rPr>
          <w:rFonts w:ascii="Times New Roman" w:hAnsi="Times New Roman" w:cs="Times New Roman"/>
          <w:b/>
          <w:bCs/>
          <w:sz w:val="20"/>
          <w:szCs w:val="20"/>
        </w:rPr>
        <w:lastRenderedPageBreak/>
        <w:t xml:space="preserve">Тема 5. </w:t>
      </w:r>
      <w:r w:rsidR="00C709A7" w:rsidRPr="00C709A7">
        <w:rPr>
          <w:rFonts w:ascii="Times New Roman" w:hAnsi="Times New Roman" w:cs="Times New Roman"/>
          <w:b/>
          <w:bCs/>
          <w:sz w:val="20"/>
          <w:szCs w:val="20"/>
        </w:rPr>
        <w:t xml:space="preserve"> Зелене інвестування у суспільно важливі сфери</w:t>
      </w:r>
    </w:p>
    <w:p w14:paraId="1CD17CEC"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sz w:val="20"/>
          <w:szCs w:val="20"/>
        </w:rPr>
        <w:t xml:space="preserve">«Зелені» інвестиції є однією з найважливіших складових боротьби зі зміною клімату та забрудненням довкілля. Ці інвестиції спрямовані на розвиток технологій та інфраструктури, які дозволяють зменшувати вплив господарської діяльності на природне середовище. Розвиток «зелених» інвестицій є ключовим елементом для досягнення сталого розвитку, оскільки сприяє зменшенню негативного впливу на довкілля та забезпечує сталість розвитку. За допомогою таких інвестицій можна зменшити використання вуглецю та інших шкідливих речовин, зберегти природні ресурси, знизити забруднення повітря, води та ґрунту. Вони сприяють розвитку нових технологій та енергоефективних рішень, що створює нові можливості для бізнесу й робочих місць. </w:t>
      </w:r>
    </w:p>
    <w:p w14:paraId="1AE982FB"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sz w:val="20"/>
          <w:szCs w:val="20"/>
        </w:rPr>
        <w:t>У світі все більше уваги приділяється «зеленим» інвестиціям, їх обсяги зростають з року в рік. Багато країн розробляють програми й стратегії, щоб сприяти розвитку «зелених» інвестицій та досягненню сталого розвитку. На сьогодні провідну роль у «зелених» інвестиціях відіграють країни, що мають високий рівень розвитку, густу населеність, а також економіки, які активно розвиваються і мають серйозні проблеми з енергозабезпеченням. Серед таких країн можна виділити США, Китай, Японію, Німеччину, Францію, Великобританію, Канаду, Італію, Іспанію, Австралію, Бразилію та інші.</w:t>
      </w:r>
    </w:p>
    <w:p w14:paraId="7BAC23E3"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sz w:val="20"/>
          <w:szCs w:val="20"/>
        </w:rPr>
        <w:t xml:space="preserve">Причини такої ситуації пов’язані з кількома факторами. </w:t>
      </w:r>
    </w:p>
    <w:p w14:paraId="417E3021"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i/>
          <w:iCs/>
          <w:sz w:val="20"/>
          <w:szCs w:val="20"/>
        </w:rPr>
        <w:t>По-перше,</w:t>
      </w:r>
      <w:r w:rsidRPr="00C709A7">
        <w:rPr>
          <w:rFonts w:ascii="Times New Roman" w:hAnsi="Times New Roman" w:cs="Times New Roman"/>
          <w:sz w:val="20"/>
          <w:szCs w:val="20"/>
        </w:rPr>
        <w:t xml:space="preserve"> ці країни володіють достатніми ресурсами, що дає їм можливість зосередитися на «зелених» інвестиціях і розвивати відповідні технології. </w:t>
      </w:r>
    </w:p>
    <w:p w14:paraId="7965EFE7"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i/>
          <w:iCs/>
          <w:sz w:val="20"/>
          <w:szCs w:val="20"/>
        </w:rPr>
        <w:t>По-друге,</w:t>
      </w:r>
      <w:r w:rsidRPr="00C709A7">
        <w:rPr>
          <w:rFonts w:ascii="Times New Roman" w:hAnsi="Times New Roman" w:cs="Times New Roman"/>
          <w:sz w:val="20"/>
          <w:szCs w:val="20"/>
        </w:rPr>
        <w:t xml:space="preserve"> перераховані країни мають значний внутрішній ринок і можуть забезпечити достатній попит на продукти зеленого сектора. </w:t>
      </w:r>
    </w:p>
    <w:p w14:paraId="6D4846DF"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i/>
          <w:iCs/>
          <w:sz w:val="20"/>
          <w:szCs w:val="20"/>
        </w:rPr>
        <w:t>По-третє,</w:t>
      </w:r>
      <w:r w:rsidRPr="00C709A7">
        <w:rPr>
          <w:rFonts w:ascii="Times New Roman" w:hAnsi="Times New Roman" w:cs="Times New Roman"/>
          <w:sz w:val="20"/>
          <w:szCs w:val="20"/>
        </w:rPr>
        <w:t xml:space="preserve"> у багатьох з цих країн є велика кількість наукових і дослідницьких центрів, які зосереджуються на розробленні технологій для відновлюваної енергетики та інших «зелених» секторів. Також важливо відзначити, що деякі країни вкладають більше коштів у «зелені» інвестиції через екологічні проблеми, з якими вони зіткнулися. У цілому провідні країни відіграють важливу роль у «зелених» інвестиціях, сприяючи їх розвитку та популяризації в світі. </w:t>
      </w:r>
    </w:p>
    <w:p w14:paraId="76B133E4"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sz w:val="20"/>
          <w:szCs w:val="20"/>
        </w:rPr>
        <w:t xml:space="preserve">За даними дослідження BloombergNEF загальна сума «зелених» інвестицій у світі становила 11,7 трильйона доларів США за період 2012–2021 років. Динаміка «зелених» інвестицій у світі за цей період показує значне зростання. У 2012 році загальна сума «зелених» інвестицій становила 254 мільярди доларів США, а в 2021 році вона сягнула 2,5 трильйона доларів США. Це є свідченням того, що інвестори по всьому світу все більше усвідомлюють необхідність збереження навколишнього середовища й використання </w:t>
      </w:r>
      <w:r w:rsidRPr="00C709A7">
        <w:rPr>
          <w:rFonts w:ascii="Times New Roman" w:hAnsi="Times New Roman" w:cs="Times New Roman"/>
          <w:sz w:val="20"/>
          <w:szCs w:val="20"/>
        </w:rPr>
        <w:lastRenderedPageBreak/>
        <w:t>екологічно чистих технологій та матеріалів. Динаміка «зелених» інвестицій у різних країнах світу є різною. Наприклад, згідно з IISD, у 2012 році загальний обсяг «зелених» інвестицій в Китаї складав 39 мільярдів доларів, а в 2021 році він збільшився до 336 мільярдів доларів. У США за той самий період загальний обсяг «зелених» інвестицій підвисився з 44 мільярдів доларів до 242 мільярдів.</w:t>
      </w:r>
    </w:p>
    <w:p w14:paraId="0AC28105"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sz w:val="20"/>
          <w:szCs w:val="20"/>
        </w:rPr>
        <w:t xml:space="preserve">У Європі також спостерілося значне зростання «зелених» інвестицій: у 2012 році їх обсяг становив 78 мільярдів доларів, а в 2020 році – 147 мільярдів доларів. «Зелені» інвестиції також зростають у країнах, що розвиваються. Наприклад в Індії, де у 2012 році обсяг «зелених» інвестицій становив 6 мільярдів доларів, а в 2020 році збільшився до 64 мільярдів. На початку 2020 року Індія запустила свій національний план зеленої енергетики, метою якого є досягнення встановленої потужності 175 гігават відновлюваної енергії до 2022 року, в тому числі 100 гігават з сонячної енергії, 60 гігават з вітроенергетики та 10 гігават з біомаси та інших джерел. Наприклад, країни Африки показують значне зростання інвестицій у відновлювану енергетику. У 2020 році обсяг інвестицій у відновлювану енергетику в Африці досяг $5,2 млрд, що є рекордним показником. Більшість цих інвестицій були спрямовані на встановлення сонячних панелей та вітряних турбін. Також відзначається зростання «зелених» інвестицій в Латинській Америці та Карибському регіоні. У 2020 році обсяг інвестицій у відновлювану енергетику досяг $36,7 млрд, що є рекордним показником. </w:t>
      </w:r>
    </w:p>
    <w:p w14:paraId="3B70E2DB"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sz w:val="20"/>
          <w:szCs w:val="20"/>
        </w:rPr>
        <w:t xml:space="preserve">Більшість інвестицій були спрямовані на встановлення сонячних панелей та вітряних турбін. «Зелені» інвестиції є ключовим інструментом для боротьби з кліматичними змінами та забезпечення сталого розвитку. Тому їх зростання в країнах, що розвиваються є дуже важливим. Серед сфер економічної діяльності, які отримують найбільший обсяг «зелених» інвестицій, слід відзначити відновлювальну енергетику, виробництво електромобілів, енергоефективне будівництво, водний сектор, переробку сировини, виробництво відновлюваних матеріалів та утилізацію відходів. Згідно з дослідженням BloombergNEF відновлювальна енергетика має лідируючі позиції за обсягом «зелених» інвестицій. У 2021 році обсяг інвестицій, за даними BloombergNEF, у відновлювальну енергетику склав $366 млрд. На другому місці «зелені» інвестиції в електромобілі, які становили $273 млрд. Наступні галузі – енергоефективність у будівництві ($60,4 млрд), збереження води ($30,2 млрд) та збереження енергії ($21,8 млрд). Також можна виділити країни, які лідирують у «зелених» інвестиціях відповідно до своїх галузей. Наприклад, США є лідером у «зелених» інвестиціях у сфері енергоефективного будівництва, які становлять $12,7 млрд, і водних технологій – $3,3 млрд. Китай є лідером у «зелених» інвестиціях у виробництво електромобілів ($46,4 млрд) та відновлювальну енергетику </w:t>
      </w:r>
      <w:r w:rsidRPr="00C709A7">
        <w:rPr>
          <w:rFonts w:ascii="Times New Roman" w:hAnsi="Times New Roman" w:cs="Times New Roman"/>
          <w:sz w:val="20"/>
          <w:szCs w:val="20"/>
        </w:rPr>
        <w:lastRenderedPageBreak/>
        <w:t xml:space="preserve">($83,3 млрд). Німеччина, яка є лідером у використанні відновлювальної енергії, здійснює «зелені» інвестиції в енергоефективність у будівництві ($7,6 млрд) та електромобілі ($6,7 млрд). Розподіл інвестицій у різні галузі «зеленого» бізнесу за 2011 2021 роки, показує, що найбільші інвестиції були здійснені в галузь відновлюваної енергетики, яка становила більше половини всіх інвестицій у цей період. Друге місце займає виробництво електромобілів, яке поступово зростало і займає понад 30% інвестицій. Енергоефективність у будівництві, збереження води та енергії отримали менше інвестицій, проте стабільне зростання. Однак існують потенційні ризики та виклики для цих галузей, такі як зміни у політиці та правовому регулюванні, високі витрати на дослідження та розроблення, а також конкуренція з традиційними галузями енергетики та транспорту. На сьогодні загальний обсяг «зелених» інвестицій продовжує зростати. </w:t>
      </w:r>
    </w:p>
    <w:p w14:paraId="60B66110"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sz w:val="20"/>
          <w:szCs w:val="20"/>
        </w:rPr>
        <w:t>Є кілька чинників, які сприяють зростанню «зелених» інвестицій в світі. Перш за все, це збільшення усвідомлення кліматичних змін та необхідності зменшення викидів вуглецю. Крім того, деякі країни встановлюють різні стимулюючі програми для «зелених» інвестицій, такі як податкові пільги та субсидії, що сприяють залученню інвесторів. Також варто зазначити, що на ринку «зелених» інвестицій спостерігається збільшення конкуренції між різними галузями, такими, як відновлювальна енергетика, електромобілі та енергоефективність. Компанії, які активно інвестують у ці галузі, можуть отримати значну перевагу на ринку в майбутньому. Інвестиції в «зелені» технології та інфраструктуру можуть стати важливим інструментом для економічного зростання в багатьох країнах, особливо в країнах, що розвиваються.</w:t>
      </w:r>
    </w:p>
    <w:p w14:paraId="3869E102"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sz w:val="20"/>
          <w:szCs w:val="20"/>
        </w:rPr>
        <w:t xml:space="preserve"> Наприклад, інвестиції в сонячну енергетику можуть допомогти забезпечити електрифікацію віддалених територій, де немає доступу до електромережі. Це може позитивно вплинути на життєвий рівень місцевого населення. Інвестиції у відновлювальну енергетику можуть знизити витрати на електроенергію для місцевих жителів та сприяти стабільнішому енергетичному постачанню, що, в свою чергу, може збільшити рівень життя. «Зелені» інвестиції можуть створювати нові робочі місця в галузях, пов’язаних зі створенням, експлуатацією та підтриманням «зелених» технологій, що може збільшити доходи місцевого населення та покращити загальний розвиток регіону. Крім того, «зелені» інвестиції можуть сприяти покращенню стану навколишнього середовища та зменшенню впливу певних промислових галузей на здоров’я місцевого населення. За останні десять років інвестиції в «зелені» проекти зростали в багатьох країнах світу, включаючи США, Китай, Бразилію, Німеччину та Австралію. Інвестиції включають інвестиції в </w:t>
      </w:r>
      <w:r w:rsidRPr="00C709A7">
        <w:rPr>
          <w:rFonts w:ascii="Times New Roman" w:hAnsi="Times New Roman" w:cs="Times New Roman"/>
          <w:sz w:val="20"/>
          <w:szCs w:val="20"/>
        </w:rPr>
        <w:lastRenderedPageBreak/>
        <w:t xml:space="preserve">енергоефективність, відновлювальну енергетику, зменшення викидів газів, екологічно чисті технології та інші сфери. </w:t>
      </w:r>
    </w:p>
    <w:p w14:paraId="2AF4F502" w14:textId="324FBF4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sz w:val="20"/>
          <w:szCs w:val="20"/>
        </w:rPr>
        <w:t xml:space="preserve">Згідно зі статистикою, наведеною в таблиці 2, країни інвестували значні кошти в «зелені» проекти з 2011 по 2021 рр. Інвестиції в «зелені» проекти постійно зростають в усіх п’яти країнах з 2011 року. США та Китай є лідерами «зелених» інвестицій, з обсягом більше 200 млрд доларів у 2021 році. Бразилія, Німеччина та Австралія відносно менші за обсягом інвестиції, проте теж показують позитивну тенденцію зростання. Загалом ці дані свідчать про значний інтерес країн до розвитку зеленої економіки та відновлюваної енергетики в світі. За останні десять років інвестиції в «зелені» проекти зростали в усіх п’яти країнах, але рівень інвестицій значно відрізняється. </w:t>
      </w:r>
    </w:p>
    <w:p w14:paraId="2ACB2D17"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sz w:val="20"/>
          <w:szCs w:val="20"/>
        </w:rPr>
        <w:t>Спочатку США та Китай інвестували в «зелену» економіку майже однаково, проте з 2015 року США почали вкладати значно більше коштів у «зелені» технології, що призвело до різкого зростання вкладень у 2020 році й продовження цього зростання у 2021 році. Крім того, дані свідчать про те, що в той час, як Сполучені Штати незмінно були головним гравцем у «зелених» інвестиціях, Китай неухильно нарощував темпи інвестування й зараз обійшов США за загальним обсягом «зелених» інвестицій. Бразилія та Австралія також зробили значні інвестиції в «зелені» проекти, хоча й у менших масштабах порівняно зі США та Китаєм. З іншого боку, «зелені» інвестиції Німеччини коливалися протягом багатьох років і значно скоротилися в 2021 році, в тому числі через вплив пандемії COVID-19 на економіку країни. Китай зберігає своє лідерство серед країн за обсягом інвестицій у «зелені» технології, хоча його інвестиції стабільно зростають. Бразилія, Німеччина та Австралія вкладають значно менше коштів у «зелені» проекти порівняно зі США та Китаєм, проте також за останні десять років спостерігається зростання обсягів інвестування.</w:t>
      </w:r>
    </w:p>
    <w:p w14:paraId="085A9D17"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sz w:val="20"/>
          <w:szCs w:val="20"/>
        </w:rPr>
        <w:t xml:space="preserve">У цілому дані свідчать про те, що «зелена» економіка стає привабливішою для інвесторів у різних країнах світу. Дані показують позитивну тенденцію до збільшення інвестицій в екологічні проекти в цих п’яти країнах, що вказує на зростаюче усвідомлення важливості екологічної стійкості та зсув до чистіших і стійкіших форм енергії та інфраструктури. Проте уряди, компанії та окремі люди в усьому світі повинні докладати додаткових зусиль, щоб прискорити перехід до більш екологічного та сталого майбутнього. </w:t>
      </w:r>
    </w:p>
    <w:p w14:paraId="75C0BFC6"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sz w:val="20"/>
          <w:szCs w:val="20"/>
        </w:rPr>
        <w:t xml:space="preserve">Важливим чинником, що впливає на розвиток «зелених» інвестицій, є регулювання з боку держав. У більшості країн світу уряди ввели різноманітні заходи для підтримання «зелених» інвестицій, такі, як фінансові стимули та інші пільги для інвесторів, стандарти екологічної сталості для компаній, обмеження викидів від компаній тощо. Це дозволило створити сприятливе </w:t>
      </w:r>
      <w:r w:rsidRPr="00C709A7">
        <w:rPr>
          <w:rFonts w:ascii="Times New Roman" w:hAnsi="Times New Roman" w:cs="Times New Roman"/>
          <w:sz w:val="20"/>
          <w:szCs w:val="20"/>
        </w:rPr>
        <w:lastRenderedPageBreak/>
        <w:t>середовище для «зелених» інвестицій та збільшити їх обсяги в світі. Другим чинником, що сприяє розвитку «зелених» інвестицій, є технологічний прогрес.</w:t>
      </w:r>
    </w:p>
    <w:p w14:paraId="683F58E9"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sz w:val="20"/>
          <w:szCs w:val="20"/>
        </w:rPr>
        <w:t>В останні роки відбувся значний прогрес у розвитку технологій для відновлювальної енергетики та енергоефективності. Такі технології стали доступнішими та ефективнішими, що збільшило їх привабливість для інвесторів. Третім чинником, який варто згадати, є підвищена свідомість суспільства щодо проблем екології та змін клімату. Багато людей усвідомлюють необхідність змін у способі життя та виробництва, що сприяє зростанню попиту на «зелені» технології та відповідно «зелені» інвестиції.</w:t>
      </w:r>
    </w:p>
    <w:p w14:paraId="5C92A12F"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sz w:val="20"/>
          <w:szCs w:val="20"/>
        </w:rPr>
        <w:t xml:space="preserve">Отже, розвиток «зелених» інвестицій у світі є результатом впливу різноманітних чинників, таких, як фінансові стимули, регулювання з боку держав, технологічний прогрес та підвищена свідомість суспільства щодо проблем екології. Згідно з даними, відносна вага «зелених» інвестицій у загальній сумі інвестицій зростає в більшості країн світу протягом останніх 10 років. Наприклад, у США відносна вага «зелених» інвестицій зросла з 20% у 2012 році до 42% у 2021 році, а в Китаї – з 10% в 2012 році – до 32% в 2021 році. У країнах Європейського Союзу відносна вага «зелених» інвестицій також зросла з 30% в 2012 році до 50% в 2021 році. З іншого боку, в Японії відносна вага «зелених» інвестицій зменшилася з 8% в 2012 році до 2% в 2021 році. Загалом, країни світу збільшують вкладення в «зелені» ініціативи, що свідчить про зростаючу увагу до екологічної сталості та боротьби зі зміною клімату. </w:t>
      </w:r>
    </w:p>
    <w:p w14:paraId="791BC7AE"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sz w:val="20"/>
          <w:szCs w:val="20"/>
        </w:rPr>
        <w:t xml:space="preserve">Щодо грошових потоків між країнами можна зазначити, що певні країни, наприклад члени Європейського Союзу, намагаються розвивати «зелені» інвестиції в своїй країні, а також в інших країнах. Наприклад, ЄС запровадив програму «Green Deal», яка передбачає інвестування в зелений бізнес в ЄС, а також збільшення інвестицій у країни, які не можуть самостійно здійснювати перехід до зеленого економічного моделювання. Це означає, що країни з високим рівнем економічного розвитку можуть інвестувати в проекти «зелених» інвестицій у країнах з низьким і середнім рівнем доходу, забезпечуючи не тільки свій власний розвиток, але й сприяючи розвитку інших країн. </w:t>
      </w:r>
    </w:p>
    <w:p w14:paraId="53D5AB5B"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sz w:val="20"/>
          <w:szCs w:val="20"/>
        </w:rPr>
        <w:t xml:space="preserve">Одним з прикладів може бути програма Європейського банку реконструкції та розвитку (ЄБРР), яка інвестує в проекти «зелених» інвестицій в країнах з низьким і середнім доходами, зокрема в Україні та Киргизстані. Програма забезпечує фінансування для проектів енергоефективності, відновлюваної енергії, зменшення викидів та інших проектів, які сприяють розвитку зеленого економічного моделювання. Ще одним прикладом є програма «Зелений кліматичний фонд», яка забезпечує фінансування проектів «зелених» інвестицій у країнах з низьким і середнім доходом. Фонд сприяє </w:t>
      </w:r>
      <w:r w:rsidRPr="00C709A7">
        <w:rPr>
          <w:rFonts w:ascii="Times New Roman" w:hAnsi="Times New Roman" w:cs="Times New Roman"/>
          <w:sz w:val="20"/>
          <w:szCs w:val="20"/>
        </w:rPr>
        <w:lastRenderedPageBreak/>
        <w:t xml:space="preserve">проектам зменшення викидів, підвищення енергоефективності, відновлюваній енергії та іншим проектам, які сприяють зеленому розвитку. </w:t>
      </w:r>
    </w:p>
    <w:p w14:paraId="07D70823"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b/>
          <w:bCs/>
          <w:i/>
          <w:iCs/>
          <w:sz w:val="20"/>
          <w:szCs w:val="20"/>
        </w:rPr>
        <w:t>Деякі приклади успішних проектів «зелених» інвестицій</w:t>
      </w:r>
      <w:r w:rsidRPr="00C709A7">
        <w:rPr>
          <w:rFonts w:ascii="Times New Roman" w:hAnsi="Times New Roman" w:cs="Times New Roman"/>
          <w:sz w:val="20"/>
          <w:szCs w:val="20"/>
        </w:rPr>
        <w:t xml:space="preserve"> у країнах з низьким та середнім доходом такі: </w:t>
      </w:r>
    </w:p>
    <w:p w14:paraId="7C6A6E26"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sz w:val="20"/>
          <w:szCs w:val="20"/>
        </w:rPr>
        <w:t xml:space="preserve">1. Сонячна електростанція в Марокко – у 2016 році в Марокко було запущено сонячну електростанцію, яка забезпечує електроенергією понад мільйон домогосподарств у країні. Цей проект був підтриманий Міжнародним банком реконструкції та розвитку. </w:t>
      </w:r>
    </w:p>
    <w:p w14:paraId="0B9A0B72"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sz w:val="20"/>
          <w:szCs w:val="20"/>
        </w:rPr>
        <w:t>2. Мікрофінансові проекти в Бангладеш – у 2015 році Бангладеська асоціація мікрофінансових інститутів виділила позику в розмірі 1,5 мільйона доларів на підтримання розвитку вітрової енергетики в місцевій громаді. У 2020 році Азійський банк розвитку надав кредит у розмірі 150 мільйонів доларів на розвиток сонячної енергетики в Бангладеші.</w:t>
      </w:r>
    </w:p>
    <w:p w14:paraId="6CC7DBBB"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sz w:val="20"/>
          <w:szCs w:val="20"/>
        </w:rPr>
        <w:t xml:space="preserve"> 3. Гідроелектростанції в Колумбії – у Колумбії було запущено кілька проектів з будівництва гідроелектростанцій, що зменшує споживання вугілля та інших видів джерел енергії, що забруднюють навколишнє середовище. </w:t>
      </w:r>
    </w:p>
    <w:p w14:paraId="65F0C581"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sz w:val="20"/>
          <w:szCs w:val="20"/>
        </w:rPr>
        <w:t xml:space="preserve">4. Проекти зеленої інфраструктури в Індії – в 2018 році у Мумбаї було відкрито одну з найдовших велодоріжок у світі, яка простягнулася на 39 кілометрів і проходить через 12 міст й околиць. </w:t>
      </w:r>
    </w:p>
    <w:p w14:paraId="04C33B93"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sz w:val="20"/>
          <w:szCs w:val="20"/>
        </w:rPr>
        <w:t xml:space="preserve">Кошторис на будівництво велодоріжки складав 1,5 мільярда рупій (близько 20 мільйонів доларів). Також у 2016 році у місті Пуне було відкрито парк, що складається з 400 тисяч дерев, кущів та інших рослин, які виростали на забрудненій території заводу. Проект коштував 7,2 мільйона доларів. У Делі було запущено проект з озеленення, в рамках якого було висаджено 1,5 мільйона дерев. Кошторис проекту склав 58 мільйонів доларів. Протягом останніх двох десятиліть упровадження рішень, заснованих на природі, зростає в усьому світі. З 2006 року багатосторонні фонди, що обслуговують Паризьку угоду, підтримали близько 400 адаптаційних проектів у країнах, що розвиваються, половина з яких розпочалася після 2015 року. Більшість зосереджено на сільському господарстві та воді, боротьбі з посухою, мінливістю опадів, повенями та впливом на узбережжя. Відбулося збільшення не лише кількості проектів, а й їх розміру. У той час, як попередні проекти, їх розмір не часто перевищував 10 мільйонів доларів США, 21 новий проект, що було реалізовано з 2017 по 2022 роки, залучив понад 25 мільйонів доларів США. </w:t>
      </w:r>
    </w:p>
    <w:p w14:paraId="011B671E"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sz w:val="20"/>
          <w:szCs w:val="20"/>
        </w:rPr>
        <w:t xml:space="preserve">Зелений кліматичний фонд, Фонд найменш розвинених країн і Фонд адаптації разом охопили понад 20 мільйонів прямих і непрямих бенефіціарів. «Зелені» інвестиції є актуальною темою в сучасному світі, особливо в контексті сталого розвитку. Головними цілями «зелених» інвестицій є зменшення викидів забруднюючих речовин та підвищення рівня </w:t>
      </w:r>
      <w:r w:rsidRPr="00C709A7">
        <w:rPr>
          <w:rFonts w:ascii="Times New Roman" w:hAnsi="Times New Roman" w:cs="Times New Roman"/>
          <w:sz w:val="20"/>
          <w:szCs w:val="20"/>
        </w:rPr>
        <w:lastRenderedPageBreak/>
        <w:t xml:space="preserve">енергоефективності, а також збільшення використання відновлюваної енергії. За останні роки спостерігається зростання «зелених» інвестицій у світі, причому їх розвиток стає все більш різноманітним та включає різні сектори економіки. Аналіз тенденцій розвитку та структури «зелених» інвестицій країн світу дозволив виявити основні закономірності їхнього розвитку та впливу на соціальноекономічний розвиток країн. </w:t>
      </w:r>
    </w:p>
    <w:p w14:paraId="1590626A"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sz w:val="20"/>
          <w:szCs w:val="20"/>
        </w:rPr>
        <w:t>Структура «зелених» інвестицій включає інвестиції у відновлювану енергетику, енергоефективність, екологічну інфраструктуру, транспорт, а також інші важливі сфери. Розподіл «зелених» інвестицій між країнами є нерівномірним, з великою часткою інвестицій в розвинених країнах, що вимагає уваги до розвитку «зелених» інвестицій у країнах з низьким та середнім доходом. Тому важливо забезпечити фінансову й технічне підтримання для цих країн, щоб вони могли ефективно впроваджувати «зелені» технології та прискорювати перехід до сталого розвитку.</w:t>
      </w:r>
    </w:p>
    <w:p w14:paraId="5AEA7FDE"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sz w:val="20"/>
          <w:szCs w:val="20"/>
        </w:rPr>
        <w:t xml:space="preserve">Забезпечення розвитку «зелених» інвестицій може бути досягнуте за допомогою різноманітних заходів, таких, як створення фінансових інструментів, підвищення освітнього рівня населення щодо екологічних питань, розвиток міжнародних співтовариств та діалогу між державами. Одним з можливих напрямків подальших наукових досліджень є розгляд взаємодії між «зеленими» інвестиціями та іншими факторами сталого розвитку, такими, як соціальна відповідальність бізнесу, екологічний вплив технологій, забезпечення енергоефективності тощо. </w:t>
      </w:r>
    </w:p>
    <w:p w14:paraId="18ECCACA" w14:textId="77777777" w:rsidR="00C709A7" w:rsidRDefault="006C2825" w:rsidP="00C709A7">
      <w:pPr>
        <w:spacing w:after="0"/>
        <w:ind w:firstLine="567"/>
        <w:jc w:val="both"/>
        <w:rPr>
          <w:rFonts w:ascii="Times New Roman" w:hAnsi="Times New Roman" w:cs="Times New Roman"/>
          <w:sz w:val="20"/>
          <w:szCs w:val="20"/>
        </w:rPr>
      </w:pPr>
      <w:r w:rsidRPr="00C709A7">
        <w:rPr>
          <w:rFonts w:ascii="Times New Roman" w:hAnsi="Times New Roman" w:cs="Times New Roman"/>
          <w:sz w:val="20"/>
          <w:szCs w:val="20"/>
        </w:rPr>
        <w:t xml:space="preserve">Крім того, значущим аспектом є аналіз ефективності різних інструментів «зелених» інвестицій, таких, як «зелені» облігації, інвестиційні фонди, «зелені» кредити тощо. Також важливим є дослідження перспектив розвитку «зелених» інвестицій у країнах з різним рівнем доходів та виявлення чинників, які допоможуть залучати фінансові ресурси до «зелених» проектів у цих країнах. </w:t>
      </w:r>
    </w:p>
    <w:p w14:paraId="2D0360A0" w14:textId="4539C4F2" w:rsidR="002A1064" w:rsidRDefault="006C2825" w:rsidP="00C709A7">
      <w:pPr>
        <w:spacing w:after="0"/>
        <w:ind w:firstLine="567"/>
        <w:jc w:val="both"/>
        <w:rPr>
          <w:rFonts w:ascii="Times New Roman" w:hAnsi="Times New Roman" w:cs="Times New Roman"/>
          <w:b/>
          <w:bCs/>
          <w:sz w:val="20"/>
          <w:szCs w:val="20"/>
        </w:rPr>
      </w:pPr>
      <w:r w:rsidRPr="00C709A7">
        <w:rPr>
          <w:rFonts w:ascii="Times New Roman" w:hAnsi="Times New Roman" w:cs="Times New Roman"/>
          <w:sz w:val="20"/>
          <w:szCs w:val="20"/>
        </w:rPr>
        <w:t>Загалом, розвиток «зелених» інвестицій є важливим чинником сталого розвитку світу та вирішення глобальних екологічних проблем. Наукові дослідження в цій області допоможуть виявити закономірності та ефективність «зелених» інвестицій і сприятимуть їхньому подальшому розвитку</w:t>
      </w:r>
      <w:r w:rsidR="003D2B7D">
        <w:rPr>
          <w:rFonts w:ascii="Times New Roman" w:hAnsi="Times New Roman" w:cs="Times New Roman"/>
          <w:sz w:val="20"/>
          <w:szCs w:val="20"/>
        </w:rPr>
        <w:t>.</w:t>
      </w:r>
      <w:r w:rsidR="002A1064" w:rsidRPr="002A1064">
        <w:rPr>
          <w:rFonts w:ascii="Times New Roman" w:hAnsi="Times New Roman" w:cs="Times New Roman"/>
          <w:b/>
          <w:bCs/>
          <w:sz w:val="20"/>
          <w:szCs w:val="20"/>
        </w:rPr>
        <w:t xml:space="preserve"> </w:t>
      </w:r>
      <w:r w:rsidR="002A1064">
        <w:rPr>
          <w:rFonts w:ascii="Times New Roman" w:hAnsi="Times New Roman" w:cs="Times New Roman"/>
          <w:b/>
          <w:bCs/>
          <w:sz w:val="20"/>
          <w:szCs w:val="20"/>
        </w:rPr>
        <w:br w:type="page"/>
      </w:r>
    </w:p>
    <w:p w14:paraId="3C9F5F97" w14:textId="58D636DB" w:rsidR="0041009D" w:rsidRPr="00CD5BA7" w:rsidRDefault="0041009D" w:rsidP="00CD5BA7">
      <w:pPr>
        <w:adjustRightInd w:val="0"/>
        <w:snapToGrid w:val="0"/>
        <w:spacing w:after="0" w:line="240" w:lineRule="auto"/>
        <w:ind w:firstLine="567"/>
        <w:jc w:val="both"/>
        <w:rPr>
          <w:rFonts w:ascii="Times New Roman" w:hAnsi="Times New Roman" w:cs="Times New Roman"/>
          <w:b/>
          <w:bCs/>
          <w:sz w:val="20"/>
          <w:szCs w:val="20"/>
        </w:rPr>
      </w:pPr>
      <w:r w:rsidRPr="00555834">
        <w:rPr>
          <w:rFonts w:ascii="Times New Roman" w:hAnsi="Times New Roman" w:cs="Times New Roman"/>
          <w:b/>
          <w:bCs/>
          <w:sz w:val="20"/>
          <w:szCs w:val="20"/>
        </w:rPr>
        <w:lastRenderedPageBreak/>
        <w:t>Тема</w:t>
      </w:r>
      <w:r w:rsidR="009D1E79" w:rsidRPr="00555834">
        <w:rPr>
          <w:rFonts w:ascii="Times New Roman" w:hAnsi="Times New Roman" w:cs="Times New Roman"/>
          <w:b/>
          <w:bCs/>
          <w:sz w:val="20"/>
          <w:szCs w:val="20"/>
        </w:rPr>
        <w:t xml:space="preserve"> 6. </w:t>
      </w:r>
      <w:bookmarkEnd w:id="8"/>
      <w:r w:rsidR="00CD5BA7" w:rsidRPr="00CD5BA7">
        <w:rPr>
          <w:rFonts w:ascii="Times New Roman" w:hAnsi="Times New Roman" w:cs="Times New Roman"/>
          <w:b/>
          <w:bCs/>
          <w:sz w:val="20"/>
          <w:szCs w:val="20"/>
        </w:rPr>
        <w:t>Особливості «зеленого» розвитку України у розрізі сфер господарювання</w:t>
      </w:r>
    </w:p>
    <w:p w14:paraId="4F1A101B" w14:textId="0C1BC590" w:rsidR="009D1E79" w:rsidRPr="00555834" w:rsidRDefault="009D1E79" w:rsidP="00555834">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На</w:t>
      </w:r>
      <w:r w:rsidR="00D878C2" w:rsidRPr="00555834">
        <w:rPr>
          <w:rFonts w:ascii="Times New Roman" w:hAnsi="Times New Roman" w:cs="Times New Roman"/>
          <w:sz w:val="20"/>
          <w:szCs w:val="20"/>
        </w:rPr>
        <w:t xml:space="preserve"> </w:t>
      </w:r>
      <w:r w:rsidRPr="00555834">
        <w:rPr>
          <w:rFonts w:ascii="Times New Roman" w:hAnsi="Times New Roman" w:cs="Times New Roman"/>
          <w:sz w:val="20"/>
          <w:szCs w:val="20"/>
        </w:rPr>
        <w:t>сьогодні</w:t>
      </w:r>
      <w:r w:rsidR="00555834">
        <w:rPr>
          <w:rFonts w:ascii="Times New Roman" w:hAnsi="Times New Roman" w:cs="Times New Roman"/>
          <w:sz w:val="20"/>
          <w:szCs w:val="20"/>
        </w:rPr>
        <w:t xml:space="preserve"> </w:t>
      </w:r>
      <w:r w:rsidRPr="00555834">
        <w:rPr>
          <w:rFonts w:ascii="Times New Roman" w:hAnsi="Times New Roman" w:cs="Times New Roman"/>
          <w:sz w:val="20"/>
          <w:szCs w:val="20"/>
        </w:rPr>
        <w:t xml:space="preserve">на міжнародному рівні проголошено, що збалансована ресурсна політика є одним з головних пріоритетів розвитку «зеленої» економіки. Підвищення глобального попиту збільшуватиме ціну ресурсів та ризик обмеженого доступу до них. Тому ресурсна ефективність є потужним еколого-економічним аргументом із суттєвим потенціалом для зменшення витрат, що водночас спричиняють два найбільших наслідки: поліпшення конкурентоспроможності та створення робочих місць. Отже, продуктивність ресурсів повинна стати ключовим елементом Зеленого Нового курсу, який може забезпечити не лише короткострокові результати, але й міцнішу економіку загалом. Офіційні цифри Євростату демонструють великі відмінності серед показників ресурсної ефективності країн-членів ЄС, що інколи сягають 17 разів. ЄС може реалізувати суттєві екологічні та конкурентні переваги, якщо систематично займатиметься зменшенням внутрішніх відмінностей щодо ресурсної ефективності. Це тягне за собою підтримку чинної </w:t>
      </w:r>
      <w:r w:rsidRPr="00555834">
        <w:rPr>
          <w:rFonts w:ascii="Times New Roman" w:hAnsi="Times New Roman" w:cs="Times New Roman"/>
          <w:b/>
          <w:sz w:val="20"/>
          <w:szCs w:val="20"/>
        </w:rPr>
        <w:t xml:space="preserve">ресурсної політики </w:t>
      </w:r>
      <w:r w:rsidRPr="00555834">
        <w:rPr>
          <w:rFonts w:ascii="Times New Roman" w:hAnsi="Times New Roman" w:cs="Times New Roman"/>
          <w:sz w:val="20"/>
          <w:szCs w:val="20"/>
        </w:rPr>
        <w:t>передових країн та створення стрибкових стратегій для тих, що відстають. У довгостроковому вимірі ресурсну ефективність варто включити до всебічного бачення збалансованого користування та управління природними ресурсами, що може характеризуватися чотирма прагматичними та взаємодоповнювальними перспективами.</w:t>
      </w:r>
    </w:p>
    <w:p w14:paraId="35E8C4DC" w14:textId="04872C2F"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 xml:space="preserve">В умовах, коли </w:t>
      </w:r>
      <w:r w:rsidRPr="00555834">
        <w:rPr>
          <w:rFonts w:ascii="Times New Roman" w:hAnsi="Times New Roman" w:cs="Times New Roman"/>
          <w:b/>
          <w:sz w:val="20"/>
          <w:szCs w:val="20"/>
        </w:rPr>
        <w:t>попит на ресурси зростає</w:t>
      </w:r>
      <w:r w:rsidRPr="00555834">
        <w:rPr>
          <w:rFonts w:ascii="Times New Roman" w:hAnsi="Times New Roman" w:cs="Times New Roman"/>
          <w:sz w:val="20"/>
          <w:szCs w:val="20"/>
        </w:rPr>
        <w:t>, а їх кількість неухильно зменшується, ефективність функціонування виробничих систем можливо забезпечити лише завдяки раціональному використанню ресурсів та їх економії. Своєрідність географічного положення України, її природних умов, ресурсного</w:t>
      </w:r>
    </w:p>
    <w:p w14:paraId="3DD4F8B9" w14:textId="64A1258D"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та наукового потенціалу, стану економіки і трансформаційних процесів у суспільстві, пов'язаних із зміною орієнтирів соціального розвитку, породжує чимало проблем на шляху економічного зростання.</w:t>
      </w:r>
    </w:p>
    <w:p w14:paraId="2E56B204" w14:textId="0BAF4051"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 xml:space="preserve">Таким чином, на сучасному етапі необхідне розроблення відповідних ініціатив для реалізації ефективного рівня використання природно-ресурсного потенціалу з урахуванням певних </w:t>
      </w:r>
      <w:r w:rsidRPr="00555834">
        <w:rPr>
          <w:rFonts w:ascii="Times New Roman" w:hAnsi="Times New Roman" w:cs="Times New Roman"/>
          <w:b/>
          <w:sz w:val="20"/>
          <w:szCs w:val="20"/>
        </w:rPr>
        <w:t>обмежень</w:t>
      </w:r>
      <w:r w:rsidRPr="00555834">
        <w:rPr>
          <w:rFonts w:ascii="Times New Roman" w:hAnsi="Times New Roman" w:cs="Times New Roman"/>
          <w:sz w:val="20"/>
          <w:szCs w:val="20"/>
        </w:rPr>
        <w:t>, що існують у територіальному вимірі. До них належать, зокрема:</w:t>
      </w:r>
    </w:p>
    <w:p w14:paraId="4EF81101" w14:textId="7056FEA8" w:rsidR="009D1E79" w:rsidRPr="00555834" w:rsidRDefault="009D1E79" w:rsidP="00030A38">
      <w:pPr>
        <w:numPr>
          <w:ilvl w:val="0"/>
          <w:numId w:val="36"/>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законодавчо задекларований статус території (рекреаційний, природнозаповідний тощо);</w:t>
      </w:r>
    </w:p>
    <w:p w14:paraId="1DB12D21" w14:textId="547479AD" w:rsidR="009D1E79" w:rsidRPr="00555834" w:rsidRDefault="009D1E79" w:rsidP="00030A38">
      <w:pPr>
        <w:numPr>
          <w:ilvl w:val="0"/>
          <w:numId w:val="36"/>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своєрідність та унікальність природно-ресурсного потенціалу;</w:t>
      </w:r>
    </w:p>
    <w:p w14:paraId="311D15B1" w14:textId="77777777" w:rsidR="009D1E79" w:rsidRPr="00555834" w:rsidRDefault="009D1E79" w:rsidP="00030A38">
      <w:pPr>
        <w:numPr>
          <w:ilvl w:val="0"/>
          <w:numId w:val="36"/>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обмеженість майнових прав;</w:t>
      </w:r>
    </w:p>
    <w:p w14:paraId="43D604D0" w14:textId="3283D9A3" w:rsidR="009D1E79" w:rsidRPr="00555834" w:rsidRDefault="009D1E79" w:rsidP="00030A38">
      <w:pPr>
        <w:numPr>
          <w:ilvl w:val="0"/>
          <w:numId w:val="36"/>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рівень</w:t>
      </w:r>
      <w:r w:rsidR="009C2BC3">
        <w:rPr>
          <w:rFonts w:ascii="Times New Roman" w:hAnsi="Times New Roman" w:cs="Times New Roman"/>
          <w:sz w:val="20"/>
          <w:szCs w:val="20"/>
        </w:rPr>
        <w:t xml:space="preserve"> </w:t>
      </w:r>
      <w:r w:rsidRPr="00555834">
        <w:rPr>
          <w:rFonts w:ascii="Times New Roman" w:hAnsi="Times New Roman" w:cs="Times New Roman"/>
          <w:sz w:val="20"/>
          <w:szCs w:val="20"/>
        </w:rPr>
        <w:t>розвитку</w:t>
      </w:r>
      <w:r w:rsidR="009C2BC3">
        <w:rPr>
          <w:rFonts w:ascii="Times New Roman" w:hAnsi="Times New Roman" w:cs="Times New Roman"/>
          <w:sz w:val="20"/>
          <w:szCs w:val="20"/>
        </w:rPr>
        <w:t xml:space="preserve"> </w:t>
      </w:r>
      <w:r w:rsidRPr="00555834">
        <w:rPr>
          <w:rFonts w:ascii="Times New Roman" w:hAnsi="Times New Roman" w:cs="Times New Roman"/>
          <w:sz w:val="20"/>
          <w:szCs w:val="20"/>
        </w:rPr>
        <w:t>екологічної інфраструктури;</w:t>
      </w:r>
    </w:p>
    <w:p w14:paraId="04836D6B" w14:textId="77777777" w:rsidR="009D1E79" w:rsidRPr="00555834" w:rsidRDefault="009D1E79" w:rsidP="00030A38">
      <w:pPr>
        <w:numPr>
          <w:ilvl w:val="0"/>
          <w:numId w:val="36"/>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дієвість інструментів екологічного управління на місцевому рівні;</w:t>
      </w:r>
    </w:p>
    <w:p w14:paraId="41094AC8" w14:textId="77777777" w:rsidR="009D1E79" w:rsidRPr="00555834" w:rsidRDefault="009D1E79" w:rsidP="00030A38">
      <w:pPr>
        <w:numPr>
          <w:ilvl w:val="0"/>
          <w:numId w:val="36"/>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рівень екологічної свідомості та менталітету місцевої громади.</w:t>
      </w:r>
    </w:p>
    <w:p w14:paraId="1C86BB3E" w14:textId="77777777"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Передумовами розвитку ресурсного менеджменту можна вважати:</w:t>
      </w:r>
    </w:p>
    <w:p w14:paraId="77C9F22B" w14:textId="77777777" w:rsidR="009D1E79" w:rsidRPr="00555834" w:rsidRDefault="009D1E79" w:rsidP="00030A38">
      <w:pPr>
        <w:numPr>
          <w:ilvl w:val="0"/>
          <w:numId w:val="36"/>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lastRenderedPageBreak/>
        <w:t>загрозливий стан використання та поглиблювана деградація природних ресурсів;</w:t>
      </w:r>
    </w:p>
    <w:p w14:paraId="195C41C0" w14:textId="136CCB6D" w:rsidR="009D1E79" w:rsidRPr="00555834" w:rsidRDefault="009D1E79" w:rsidP="00030A38">
      <w:pPr>
        <w:numPr>
          <w:ilvl w:val="0"/>
          <w:numId w:val="36"/>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недієвість судової системи щодо захисту від надмірної експлуатації природно-ресурсного потенціалу, у тому числі на регіональному рівні;</w:t>
      </w:r>
    </w:p>
    <w:p w14:paraId="03532C69" w14:textId="5098309E" w:rsidR="009D1E79" w:rsidRPr="00555834" w:rsidRDefault="009D1E79" w:rsidP="00030A38">
      <w:pPr>
        <w:numPr>
          <w:ilvl w:val="0"/>
          <w:numId w:val="36"/>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недостатню розвиненість законодавчо-нормативного базису щодо регламентації та моделей раціонального природокористування на державному рівні;</w:t>
      </w:r>
    </w:p>
    <w:p w14:paraId="28DB5A77" w14:textId="585DD94B" w:rsidR="009D1E79" w:rsidRPr="00555834" w:rsidRDefault="009D1E79" w:rsidP="00030A38">
      <w:pPr>
        <w:numPr>
          <w:ilvl w:val="0"/>
          <w:numId w:val="36"/>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 xml:space="preserve">відсутність відповідних державних інституцій, які забезпечують розвиток </w:t>
      </w:r>
      <w:r w:rsidRPr="00555834">
        <w:rPr>
          <w:rFonts w:ascii="Times New Roman" w:hAnsi="Times New Roman" w:cs="Times New Roman"/>
          <w:b/>
          <w:sz w:val="20"/>
          <w:szCs w:val="20"/>
        </w:rPr>
        <w:t>інновацій та трансфер еколого безпечних технологій</w:t>
      </w:r>
      <w:r w:rsidRPr="00555834">
        <w:rPr>
          <w:rFonts w:ascii="Times New Roman" w:hAnsi="Times New Roman" w:cs="Times New Roman"/>
          <w:sz w:val="20"/>
          <w:szCs w:val="20"/>
        </w:rPr>
        <w:t>;</w:t>
      </w:r>
    </w:p>
    <w:p w14:paraId="022A420E" w14:textId="77777777" w:rsidR="009D1E79" w:rsidRPr="00555834" w:rsidRDefault="009D1E79" w:rsidP="00030A38">
      <w:pPr>
        <w:numPr>
          <w:ilvl w:val="0"/>
          <w:numId w:val="36"/>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підвищення ролі суспільних інститутів та екологічної освіти.</w:t>
      </w:r>
    </w:p>
    <w:p w14:paraId="26101A1F" w14:textId="1AA2BCB3" w:rsidR="009D1E79" w:rsidRPr="00555834" w:rsidRDefault="009D1E79" w:rsidP="00385DE3">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Ураховуючи вищезазначене, можна стверджувати, що на державному рівні необхідно  більш  чітко  сформувати</w:t>
      </w:r>
      <w:r w:rsidR="00385DE3">
        <w:rPr>
          <w:rFonts w:ascii="Times New Roman" w:hAnsi="Times New Roman" w:cs="Times New Roman"/>
          <w:sz w:val="20"/>
          <w:szCs w:val="20"/>
        </w:rPr>
        <w:t xml:space="preserve"> </w:t>
      </w:r>
      <w:r w:rsidRPr="00555834">
        <w:rPr>
          <w:rFonts w:ascii="Times New Roman" w:hAnsi="Times New Roman" w:cs="Times New Roman"/>
          <w:b/>
          <w:sz w:val="20"/>
          <w:szCs w:val="20"/>
        </w:rPr>
        <w:t xml:space="preserve">ідеологічну платформу природноресурсного менеджменту в просторовому контексті </w:t>
      </w:r>
      <w:r w:rsidRPr="00555834">
        <w:rPr>
          <w:rFonts w:ascii="Times New Roman" w:hAnsi="Times New Roman" w:cs="Times New Roman"/>
          <w:sz w:val="20"/>
          <w:szCs w:val="20"/>
        </w:rPr>
        <w:t>та обов’язково враховувати її в усіх законодавчих ініціативах.</w:t>
      </w:r>
    </w:p>
    <w:p w14:paraId="52C6CD95" w14:textId="61CC71D8" w:rsidR="009D1E79" w:rsidRPr="00555834" w:rsidRDefault="00555834" w:rsidP="0012192B">
      <w:pPr>
        <w:adjustRightInd w:val="0"/>
        <w:snapToGrid w:val="0"/>
        <w:spacing w:after="0" w:line="240" w:lineRule="auto"/>
        <w:ind w:firstLine="567"/>
        <w:jc w:val="both"/>
        <w:rPr>
          <w:rFonts w:ascii="Times New Roman" w:hAnsi="Times New Roman" w:cs="Times New Roman"/>
          <w:b/>
          <w:i/>
          <w:sz w:val="20"/>
          <w:szCs w:val="20"/>
        </w:rPr>
      </w:pPr>
      <w:r w:rsidRPr="00555834">
        <w:rPr>
          <w:rFonts w:ascii="Times New Roman" w:hAnsi="Times New Roman" w:cs="Times New Roman"/>
          <w:b/>
          <w:sz w:val="20"/>
          <w:szCs w:val="20"/>
        </w:rPr>
        <w:t>«зелене» сільське господарство</w:t>
      </w:r>
      <w:r w:rsidR="009D1E79" w:rsidRPr="00555834">
        <w:rPr>
          <w:rFonts w:ascii="Times New Roman" w:hAnsi="Times New Roman" w:cs="Times New Roman"/>
          <w:b/>
          <w:sz w:val="20"/>
          <w:szCs w:val="20"/>
        </w:rPr>
        <w:t xml:space="preserve">. </w:t>
      </w:r>
      <w:r w:rsidR="009D1E79" w:rsidRPr="00555834">
        <w:rPr>
          <w:rFonts w:ascii="Times New Roman" w:hAnsi="Times New Roman" w:cs="Times New Roman"/>
          <w:sz w:val="20"/>
          <w:szCs w:val="20"/>
        </w:rPr>
        <w:t xml:space="preserve">Щоб задовольнити потреби населення Землі, виробництво продовольства на планеті за розрахунками має збільшитися до 2050 р. на 70 %. Більшість земель Європи та Північної Америки є виснаженими, і на сьогодні тільки 5 країн мають потужний потенціал збільшення обсягів виробництва сільськогосодарської продукції – Бразилія, Росія, Індія, Китай та Україна. Найперспективнішою галуззю первинного сектору економіки України є сільське господарство. Близько 40 % </w:t>
      </w:r>
      <w:r w:rsidR="009D1E79" w:rsidRPr="00555834">
        <w:rPr>
          <w:rFonts w:ascii="Times New Roman" w:hAnsi="Times New Roman" w:cs="Times New Roman"/>
          <w:b/>
          <w:i/>
          <w:sz w:val="20"/>
          <w:szCs w:val="20"/>
        </w:rPr>
        <w:t>території України становлять потенційно родючі чорноземні ґрунти в лісостеповій і степовій природних зонах у центрі, на півдні та сході країни. Зважаючи на досить високий вміст гумусу (4-9 %) та суглинковий механічний склад, чорноземи забезпечують високу родючість, особливо зернових і масляничних культур, при богарному землеробстві. Полив, оранка та внесення добрив, інші агротехнічні та агрохімічні заходи дозволяють суттєво підвищити врожайність.</w:t>
      </w:r>
    </w:p>
    <w:p w14:paraId="2FC9C16B" w14:textId="7B384B4C" w:rsidR="009D1E79" w:rsidRPr="00555834" w:rsidRDefault="009D1E79" w:rsidP="0012192B">
      <w:pPr>
        <w:adjustRightInd w:val="0"/>
        <w:snapToGrid w:val="0"/>
        <w:spacing w:after="0" w:line="240" w:lineRule="auto"/>
        <w:ind w:firstLine="567"/>
        <w:jc w:val="both"/>
        <w:rPr>
          <w:rFonts w:ascii="Times New Roman" w:hAnsi="Times New Roman" w:cs="Times New Roman"/>
          <w:b/>
          <w:bCs/>
          <w:i/>
          <w:iCs/>
          <w:sz w:val="20"/>
          <w:szCs w:val="20"/>
        </w:rPr>
      </w:pPr>
      <w:r w:rsidRPr="00555834">
        <w:rPr>
          <w:rFonts w:ascii="Times New Roman" w:hAnsi="Times New Roman" w:cs="Times New Roman"/>
          <w:b/>
          <w:bCs/>
          <w:i/>
          <w:iCs/>
          <w:sz w:val="20"/>
          <w:szCs w:val="20"/>
        </w:rPr>
        <w:t>Органічне сільське господарство (Organic Agriculture) може стати локомотивом реформування економіки України відповідно до світових стандартів, зокрема екологічних.</w:t>
      </w:r>
    </w:p>
    <w:p w14:paraId="4A5440FF" w14:textId="5720624E" w:rsidR="00FF19A9" w:rsidRPr="00555834" w:rsidRDefault="009D1E79" w:rsidP="00555834">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 xml:space="preserve">Ідея органічного сільського господарства є відносно новою. </w:t>
      </w:r>
      <w:r w:rsidRPr="00555834">
        <w:rPr>
          <w:rFonts w:ascii="Times New Roman" w:hAnsi="Times New Roman" w:cs="Times New Roman"/>
          <w:i/>
          <w:sz w:val="20"/>
          <w:szCs w:val="20"/>
        </w:rPr>
        <w:t xml:space="preserve">На початку 60-х років ХХ ст. негативні наслідки інтенсифікації землеробства сприяли виникненню за кордоном так званого альтернативного землеробства, яке називають також біологічним, біодинамічним, екологічним або органічним. </w:t>
      </w:r>
      <w:r w:rsidRPr="00555834">
        <w:rPr>
          <w:rFonts w:ascii="Times New Roman" w:hAnsi="Times New Roman" w:cs="Times New Roman"/>
          <w:sz w:val="20"/>
          <w:szCs w:val="20"/>
        </w:rPr>
        <w:t>Незважаючи на відносно нетривалу історію розвитку, органічне землеробство набуває неабиякої популярності в</w:t>
      </w:r>
      <w:r w:rsidR="00555834" w:rsidRPr="00555834">
        <w:rPr>
          <w:rFonts w:ascii="Times New Roman" w:hAnsi="Times New Roman" w:cs="Times New Roman"/>
          <w:sz w:val="20"/>
          <w:szCs w:val="20"/>
        </w:rPr>
        <w:t xml:space="preserve"> </w:t>
      </w:r>
      <w:r w:rsidRPr="00555834">
        <w:rPr>
          <w:rFonts w:ascii="Times New Roman" w:hAnsi="Times New Roman" w:cs="Times New Roman"/>
          <w:sz w:val="20"/>
          <w:szCs w:val="20"/>
        </w:rPr>
        <w:t>багатьох країнах світу.</w:t>
      </w:r>
    </w:p>
    <w:p w14:paraId="1A31D606" w14:textId="19335422"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b/>
          <w:sz w:val="20"/>
          <w:szCs w:val="20"/>
        </w:rPr>
        <w:t xml:space="preserve">органічне сільське господарство </w:t>
      </w:r>
      <w:r w:rsidRPr="00555834">
        <w:rPr>
          <w:rFonts w:ascii="Times New Roman" w:hAnsi="Times New Roman" w:cs="Times New Roman"/>
          <w:sz w:val="20"/>
          <w:szCs w:val="20"/>
        </w:rPr>
        <w:t xml:space="preserve">поєднує традиції, практичні новації та наукові розробки з метою поліпшення стану навколишнього середовища та сприяння розвитку справедливих взаємовідносин і досягнення належного рівня життя. Україна має особливі переваги щодо можливостей, які пропонує збалансоване та органічне сільське господарство. Вони обумовлені низьким рівнем використання пестицидів і хімічних добрив, значною часткою малих </w:t>
      </w:r>
      <w:r w:rsidRPr="00555834">
        <w:rPr>
          <w:rFonts w:ascii="Times New Roman" w:hAnsi="Times New Roman" w:cs="Times New Roman"/>
          <w:sz w:val="20"/>
          <w:szCs w:val="20"/>
        </w:rPr>
        <w:lastRenderedPageBreak/>
        <w:t>ферм і доступністю сільськогосподарської робочої сили. Існує й експортна привабливість – сусідство з Європейським Союзом, з другим у світі ринком органічних продуктів харчування, що зростає величезними темпами.</w:t>
      </w:r>
    </w:p>
    <w:p w14:paraId="04EC606D" w14:textId="6F4FC719"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Органічне сільське господарство є виробничою системою, що підтримує здоров’я ґрунтів, екосистем і людей. Воно залежить від екологічних процесів, біологічної різноманітності та природних циклів, характерних для місцевих умов. При цьому не використовуються шкідливі ресурси, застосування яких має несприятливі наслідки.</w:t>
      </w:r>
    </w:p>
    <w:p w14:paraId="7B3BEA92" w14:textId="3029AEDF"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Органічне сільське господарство ґрунтується на чотирьох принципах, що регулюють розвиток основ, програм і стандартів Міжнародної федерації органічного руху (</w:t>
      </w:r>
      <w:r w:rsidRPr="00555834">
        <w:rPr>
          <w:rFonts w:ascii="Times New Roman" w:hAnsi="Times New Roman" w:cs="Times New Roman"/>
          <w:i/>
          <w:sz w:val="20"/>
          <w:szCs w:val="20"/>
        </w:rPr>
        <w:t>International Federation of Organic Agriculture Movements – IFOAM</w:t>
      </w:r>
      <w:r w:rsidRPr="00555834">
        <w:rPr>
          <w:rFonts w:ascii="Times New Roman" w:hAnsi="Times New Roman" w:cs="Times New Roman"/>
          <w:sz w:val="20"/>
          <w:szCs w:val="20"/>
        </w:rPr>
        <w:t>), що об’єднує понад 750 організацій у 116 країнах світу. Стандарти розроблені з урахуванням можливостей їх застосування в усьому світі.</w:t>
      </w:r>
    </w:p>
    <w:p w14:paraId="349ED9C2" w14:textId="245D673E" w:rsidR="009D1E79" w:rsidRPr="00555834" w:rsidRDefault="009D1E79" w:rsidP="00E21F18">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По-перше,</w:t>
      </w:r>
      <w:r w:rsidR="00555834">
        <w:rPr>
          <w:rFonts w:ascii="Times New Roman" w:hAnsi="Times New Roman" w:cs="Times New Roman"/>
          <w:sz w:val="20"/>
          <w:szCs w:val="20"/>
        </w:rPr>
        <w:t xml:space="preserve"> </w:t>
      </w:r>
      <w:r w:rsidRPr="00555834">
        <w:rPr>
          <w:rFonts w:ascii="Times New Roman" w:hAnsi="Times New Roman" w:cs="Times New Roman"/>
          <w:sz w:val="20"/>
          <w:szCs w:val="20"/>
        </w:rPr>
        <w:t>принцип</w:t>
      </w:r>
      <w:r w:rsidR="00555834">
        <w:rPr>
          <w:rFonts w:ascii="Times New Roman" w:hAnsi="Times New Roman" w:cs="Times New Roman"/>
          <w:sz w:val="20"/>
          <w:szCs w:val="20"/>
        </w:rPr>
        <w:t xml:space="preserve"> </w:t>
      </w:r>
      <w:r w:rsidRPr="00555834">
        <w:rPr>
          <w:rFonts w:ascii="Times New Roman" w:hAnsi="Times New Roman" w:cs="Times New Roman"/>
          <w:sz w:val="20"/>
          <w:szCs w:val="20"/>
        </w:rPr>
        <w:t>здоров’я. Органічне сільське господарство має підтримувати та поліпшувати здоров’я ґрунту, рослин, тварин, людини та планети як єдиного та неподільного цілого. По-друге, принцип екології, або співіснування, наслідування та підтримання природних екологічних систем і</w:t>
      </w:r>
      <w:r w:rsidR="00E21F18" w:rsidRPr="00555834">
        <w:rPr>
          <w:rFonts w:ascii="Times New Roman" w:hAnsi="Times New Roman" w:cs="Times New Roman"/>
          <w:sz w:val="20"/>
          <w:szCs w:val="20"/>
        </w:rPr>
        <w:t xml:space="preserve"> </w:t>
      </w:r>
      <w:r w:rsidRPr="00555834">
        <w:rPr>
          <w:rFonts w:ascii="Times New Roman" w:hAnsi="Times New Roman" w:cs="Times New Roman"/>
          <w:sz w:val="20"/>
          <w:szCs w:val="20"/>
        </w:rPr>
        <w:t>циклів.</w:t>
      </w:r>
    </w:p>
    <w:p w14:paraId="12864E98" w14:textId="35DFA746" w:rsidR="00E21F18" w:rsidRPr="00555834" w:rsidRDefault="009D1E79" w:rsidP="00E21F18">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По-третє, принцип справедливості. Органічне сільське господарство має базуватися на відносинах, що гарантують справедливість з урахуванням навколишнього природного середовища та життєвих можливостей.</w:t>
      </w:r>
    </w:p>
    <w:p w14:paraId="754D313D" w14:textId="2E4E7FA1"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По-четверте, принцип турботи. Управління органічним сільським господарством повинно мати превентивний та відповідальний характер для захисту здоров’я та добробуту сьогоднішнього та майбутніх поколінь і довкілля .</w:t>
      </w:r>
    </w:p>
    <w:p w14:paraId="2D66D5A4" w14:textId="17B22EC1"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Отже, органічне землеробство (виробництво) можна визначити як систему сільськогосподарського менеджменту агроекосистем, що ґрунтується на максимальному використанні біологічних чинників підвищення родючості ґрунтів, агротехнологічних заходів захисту рослин, а також на виконанні комплексу інших заходів, що забезпечують екологічно-, соціальнота економічно доцільне виробництво сільськогосподарської продукції й сировини.</w:t>
      </w:r>
    </w:p>
    <w:p w14:paraId="5D1EBE62" w14:textId="77777777"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США є найбільшим у світі ринком збуту органічної продукції, друге місце посідає Німеччина. Провідні ринки органічної продукції розширюються приблизно на 10-20 % щорічно. Світовий ринок органічної продукції у 2003 р. оцінювався у 23-25 млрд дол., зокрема у США – 11-13 млрд дол., Європі – 10-11 млрд дол. Сучасний світовий ринок  органічної  продукції  становить</w:t>
      </w:r>
    </w:p>
    <w:p w14:paraId="7F7A8C37" w14:textId="23B7A57D"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50 млрд дол. Завдяки стимулюванню інвестицій у стале виробництво та споживання прогнозується збільшення глобального ринку екологічних продуктів та послуг з 1,37 до 2,74 трлн дол.</w:t>
      </w:r>
    </w:p>
    <w:p w14:paraId="1B621949" w14:textId="5F3967BC"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 xml:space="preserve">За споживанням органічних продуктів харчування на душу населення світовим лідером є Швейцарія, кожний житель якої в середньому витрачає на них 117 дол. на рік, до неї наближається Данія із сумою в 73 дол. на рік. Цей </w:t>
      </w:r>
      <w:r w:rsidRPr="00555834">
        <w:rPr>
          <w:rFonts w:ascii="Times New Roman" w:hAnsi="Times New Roman" w:cs="Times New Roman"/>
          <w:sz w:val="20"/>
          <w:szCs w:val="20"/>
        </w:rPr>
        <w:lastRenderedPageBreak/>
        <w:t>показник у більшості країн ЄС зараз становить 30-50 дол. на рік, а у США – 45 дол. на рік і має тенденцію до швидкого зростання.</w:t>
      </w:r>
    </w:p>
    <w:p w14:paraId="0BF6B7F6" w14:textId="388C80F5" w:rsidR="009D1E79" w:rsidRPr="00555834" w:rsidRDefault="009D1E79" w:rsidP="00E21F18">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Сьогодні під органічне сільське господарство у світі відводять дедалі більше земель: у Європі понад 5,1 млн га, причому ця частка збільшується останніми роками, у Північній Америці – 1,5 млн га, Латинській Америці – 4,7 млн га, в Австралії – 10,6 млн га. Збільшення частки земель, переведених під органічне  землеробство,  у  Європі  відбувалося завдяки розпочатій у 1993 р. загальній політиці ЄС щодо підтримки фермерів у перші роки після переходу від звичайного до органічного агровиробництва. Середній показник використання земель в органічному виробництві в країнах ЄС сягнув близько 4 %, в Австрії й Італії – 8 %. У Швеції, яка є європейським лідером у зазначеній сфері, – майже 12 %, у Швейцарії – понад 10 % . Висока мотивація визначає готовність частини споживачів платити додатково (10-50 % від звичайної ціни) за органічні продукти харчування, і попит на них у світі швидко зростає.</w:t>
      </w:r>
    </w:p>
    <w:p w14:paraId="12FC1DFB" w14:textId="4C412F5B"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У Європейському Союзі державне регулювання сфери органічної продукції здійснюється за допомогою Директиви ЄС 2092/91, яка, зокрема, визначила загальні межі та принципи органічного сільського господарства, вимоги до виробництва сільськогосподарської продукції, її перероблення й виготовлення харчових продуктів, ознаки й маркування органічної продукції та відкрила ринок органічної продукції для імпорту з «третіх країн»</w:t>
      </w:r>
    </w:p>
    <w:p w14:paraId="6D16CFD7" w14:textId="6185EB85"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За даними Федерації органічного руху України, на початок 2010 р. в Україні був сертифікований 121 виробник органічної сільгосппродукції, у країні нараховується 145 виробників та перероблювачів органічних продуктів разом. Маркувати свою продукцію як органічну в Україні можуть виробники, які одержали відповідний сертифікат. Сертифікацію виробництва сировини та готової продукції проводять іноземні фірми та українська акредитована компанія «Органік стандарт». Останнім часом спостерігається тенденція до зростання кількості переробних кампаній, що розпочинають бізнес у цьому сегменті ринку.</w:t>
      </w:r>
    </w:p>
    <w:p w14:paraId="7431A5FE" w14:textId="1B49789E" w:rsidR="009D1E79" w:rsidRDefault="009D1E79" w:rsidP="00E21F18">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Під органічними культурами зайнято близько 1 % усіх сільськогосподарських земель країни з близько третини придатних для цих цілей, на яких вирощуються переважно зернові й масличні. Дослідження в середині 1990-х років підтвердили, що до 90 % орної землі в  Україні  зазнали  деградації  різного</w:t>
      </w:r>
      <w:r w:rsidR="00E21F18" w:rsidRPr="00555834">
        <w:rPr>
          <w:rFonts w:ascii="Times New Roman" w:hAnsi="Times New Roman" w:cs="Times New Roman"/>
          <w:sz w:val="20"/>
          <w:szCs w:val="20"/>
        </w:rPr>
        <w:t xml:space="preserve"> </w:t>
      </w:r>
      <w:r w:rsidRPr="00555834">
        <w:rPr>
          <w:rFonts w:ascii="Times New Roman" w:hAnsi="Times New Roman" w:cs="Times New Roman"/>
          <w:sz w:val="20"/>
          <w:szCs w:val="20"/>
        </w:rPr>
        <w:t>ступеня. Близько 35,8 % земель еродовані, 25,6 % – мають підвищену кислотність, 9,7 % – засолені й солонцюваті, а 8,9 % – перезволожені й заболочені. З іншого боку, унаслідок економічної кризи, зокрема через нестачу обігових коштів, останніми роками значно зменшилося використання мінеральних добрив, пестицидів та інших хімікатів, а отже, втрата природної родючості ґрунтів призупинилася. Сьогодні існують значні площі екологічно чистих чорноземів, які можуть бути переведені на органічне землеробство протягом відносно короткого періоду.</w:t>
      </w:r>
    </w:p>
    <w:p w14:paraId="534FC404" w14:textId="77777777" w:rsidR="009C2BC3" w:rsidRPr="009C2BC3" w:rsidRDefault="009C2BC3" w:rsidP="009C2BC3">
      <w:pPr>
        <w:jc w:val="center"/>
        <w:rPr>
          <w:rFonts w:ascii="Times New Roman" w:hAnsi="Times New Roman" w:cs="Times New Roman"/>
          <w:sz w:val="20"/>
          <w:szCs w:val="20"/>
        </w:rPr>
      </w:pPr>
    </w:p>
    <w:p w14:paraId="2FB9FCC2" w14:textId="27E79CEE"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lastRenderedPageBreak/>
        <w:t>Через низький попит на органіку з боку вітчизняних споживачів основним ринком збуту органічних продуктів для України є країни ЄС. Фінансово</w:t>
      </w:r>
      <w:r w:rsidR="00732FA2">
        <w:rPr>
          <w:rFonts w:ascii="Times New Roman" w:hAnsi="Times New Roman" w:cs="Times New Roman"/>
          <w:sz w:val="20"/>
          <w:szCs w:val="20"/>
        </w:rPr>
        <w:t>-</w:t>
      </w:r>
      <w:r w:rsidRPr="00555834">
        <w:rPr>
          <w:rFonts w:ascii="Times New Roman" w:hAnsi="Times New Roman" w:cs="Times New Roman"/>
          <w:sz w:val="20"/>
          <w:szCs w:val="20"/>
        </w:rPr>
        <w:t>економічна криза уповільнила розвиток ринку органіки, що приростав на 10 % щорічно переважно саме за рахунок країн ЄС і знизив попит на органічну продукцію через її дорожнечу. Це позбавило українських виробників єдиного каналу збуту.</w:t>
      </w:r>
    </w:p>
    <w:p w14:paraId="0D225F25" w14:textId="6E5932B2"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Рентабельність «органічного» бізнесу в усьому світі залежить від рівня державної підтримки. У ЄС, де багато прихильників органічних продуктів й існує державна підтримка цього напряму, виробники можуть дозволити собі тримати ціни на відносно низькому рівні – у Європі органічні продукти дорожче звичайних на 20-40 %, а без державних дотацій ціни були б вищими мінімум удвічі. Наведені вище факти свідчать про постійне зростання потужностей органічного аграрного виробництва у світі. Не повинна стати винятком і Україна, адже, як зазначалося, у державі наявні ресурси для переходу на органічне ведення сільського господарства.</w:t>
      </w:r>
    </w:p>
    <w:p w14:paraId="7AA8B88C" w14:textId="6EFAC9FA"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Найслабше місце вітчизняного сільського господарства – розвал села – можна перетворити на його головну конкурентну  перевагу.  Формування</w:t>
      </w:r>
    </w:p>
    <w:p w14:paraId="28729921" w14:textId="1F7C1C32" w:rsidR="009D1E79" w:rsidRPr="00555834" w:rsidRDefault="009D1E79" w:rsidP="009D1E85">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«нового» села має для цього відбуватися з чіткою орієнтацією сільськогосподарських підприємств на вирощування екологічно чистої (органічної) сільгосппродукції. У такій спосіб органічне сільське</w:t>
      </w:r>
      <w:r w:rsidR="009D1E85" w:rsidRPr="00555834">
        <w:rPr>
          <w:rFonts w:ascii="Times New Roman" w:hAnsi="Times New Roman" w:cs="Times New Roman"/>
          <w:sz w:val="20"/>
          <w:szCs w:val="20"/>
        </w:rPr>
        <w:t xml:space="preserve"> </w:t>
      </w:r>
      <w:r w:rsidRPr="00555834">
        <w:rPr>
          <w:rFonts w:ascii="Times New Roman" w:hAnsi="Times New Roman" w:cs="Times New Roman"/>
          <w:sz w:val="20"/>
          <w:szCs w:val="20"/>
        </w:rPr>
        <w:t>господарство може стати наріжним каменем формування економічної безпеки держави й відкрити нові стратегічні перспективи розвитку.</w:t>
      </w:r>
    </w:p>
    <w:p w14:paraId="4F6953B7" w14:textId="76784A62"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Однією з основних проблем запровадження технологій органічного землеробства в Україні є низький рівень обізнаності населення та виробників щодо органічного землеробства (розуміння головних ознак й особливостей цих технологій, переваг їх використання та можливих проблем під час запровадження). Другою вагомою проблемою є низький рівень екологічної свідомості населення (насамперед сільського) та низька технологічна культура сільськогосподарського виробництва всіх рівнів – від особистого селянського господарства до великих аграрних об’єднань. Крім недостатньої відповідної освіти та екологічної свідомості, спостерігається небажання змінювати усталені погляди, що склалися за тривалий період інтенсифікації сільського господарства, та низький рівень інноваційної активності менеджерів і державних управлінських структур. Треба також вказати на складну демографічну ситуацію в сільській місцевості (депопуляція, вікова структура) та низький рівень життя сільського населення. Поставлені в умови необхідності виживання люди з недовірою й пересторогою сприймають все нове і не бажають ризикувати тим, що вони мають.</w:t>
      </w:r>
    </w:p>
    <w:p w14:paraId="16BD6D53" w14:textId="77777777"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До  кола  інституційних  і  правових</w:t>
      </w:r>
    </w:p>
    <w:p w14:paraId="7C17B475" w14:textId="77777777"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 xml:space="preserve">проблем упровадження </w:t>
      </w:r>
      <w:r w:rsidRPr="00555834">
        <w:rPr>
          <w:rFonts w:ascii="Times New Roman" w:hAnsi="Times New Roman" w:cs="Times New Roman"/>
          <w:b/>
          <w:sz w:val="20"/>
          <w:szCs w:val="20"/>
        </w:rPr>
        <w:t xml:space="preserve">органічного землеробства </w:t>
      </w:r>
      <w:r w:rsidRPr="00555834">
        <w:rPr>
          <w:rFonts w:ascii="Times New Roman" w:hAnsi="Times New Roman" w:cs="Times New Roman"/>
          <w:sz w:val="20"/>
          <w:szCs w:val="20"/>
        </w:rPr>
        <w:t>в Україні належать:</w:t>
      </w:r>
    </w:p>
    <w:p w14:paraId="3472EC42" w14:textId="185CA831" w:rsidR="009D1E79" w:rsidRPr="00555834" w:rsidRDefault="009D1E79" w:rsidP="00030A38">
      <w:pPr>
        <w:numPr>
          <w:ilvl w:val="0"/>
          <w:numId w:val="35"/>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відсутність відповідної законодавчої й нормативної бази, передусім базового закону про органічне землеробство та сертифікацію органічної продукції, узгодженого з вимогами міжнародного законодавства;</w:t>
      </w:r>
    </w:p>
    <w:p w14:paraId="37DE6E47" w14:textId="35AD1287" w:rsidR="009D1E79" w:rsidRPr="00555834" w:rsidRDefault="009D1E79" w:rsidP="00030A38">
      <w:pPr>
        <w:numPr>
          <w:ilvl w:val="0"/>
          <w:numId w:val="35"/>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lastRenderedPageBreak/>
        <w:t>відсутність ефективної національної системи сертифікації та контролю органічних господарств і виробленої ними продукції;</w:t>
      </w:r>
    </w:p>
    <w:p w14:paraId="51EEEE09" w14:textId="382CF7B7" w:rsidR="006A0859" w:rsidRPr="00555834" w:rsidRDefault="009D1E79" w:rsidP="00030A38">
      <w:pPr>
        <w:numPr>
          <w:ilvl w:val="0"/>
          <w:numId w:val="35"/>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відсутність відповідної внутрішньої інфраструктури (асоціацій/спілок/осередків виробників органічної продукції);</w:t>
      </w:r>
    </w:p>
    <w:p w14:paraId="359861F1" w14:textId="77777777" w:rsidR="009D1E79" w:rsidRPr="00555834" w:rsidRDefault="009D1E79" w:rsidP="00030A38">
      <w:pPr>
        <w:numPr>
          <w:ilvl w:val="1"/>
          <w:numId w:val="35"/>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відсутність державної підтримки забезпечення доступу на зовнішні ринки органічної продукції;</w:t>
      </w:r>
    </w:p>
    <w:p w14:paraId="31F235E4" w14:textId="077A32FA" w:rsidR="009D1E79" w:rsidRPr="00555834" w:rsidRDefault="009D1E79" w:rsidP="00030A38">
      <w:pPr>
        <w:numPr>
          <w:ilvl w:val="1"/>
          <w:numId w:val="35"/>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відсутність належного інформаційного забезпечення (популяризація технологій органічного землеробства, екологічна освіта населення та виробників сільськогосподарської продукції, консультаційна підтримка виробників, спеціалізовані тренінги для керівників і працівників господарств).</w:t>
      </w:r>
    </w:p>
    <w:p w14:paraId="340A2F6A" w14:textId="585F6E19"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За міжнародними оцінками «озеленення» сільського господарства дозволить забезпечити продовольством постійно збільшуване світове населення, не підриваючи при цьому запаси природних ресурсів. Перед сільським господарством поставлене завдання – до 2050 р. воно має прогодувати вже 9 млрд людей, не завдаючи шкоди екосистемам і здоров’ю людей за умов більш спекотного клімату. Проте в умовах використання сьогоднішніх технологій у сільському господарстві цей сектор економіки споживає понад 70 % світових ресурсів прісної води і на його частку припадає понад 13 % світових викидів парникових газів . Також використання наявних технологій є причиною 3-5 млн випадків отруєння пестицидами і понад 40 тис. смертей на рік.</w:t>
      </w:r>
    </w:p>
    <w:p w14:paraId="2938A59C" w14:textId="600F9BCF" w:rsidR="009D1E79" w:rsidRPr="00555834" w:rsidRDefault="009D1E79" w:rsidP="002B62B6">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Тому розвиток «зеленого» сільського господарства вимагає не лише державної підтримки, матеріальних активів, фінансових інвестицій, а й ефективного земельного  менеджменту  на  засадах</w:t>
      </w:r>
      <w:r w:rsidR="002B62B6">
        <w:rPr>
          <w:rFonts w:ascii="Times New Roman" w:hAnsi="Times New Roman" w:cs="Times New Roman"/>
          <w:sz w:val="20"/>
          <w:szCs w:val="20"/>
        </w:rPr>
        <w:t xml:space="preserve"> </w:t>
      </w:r>
      <w:r w:rsidRPr="00555834">
        <w:rPr>
          <w:rFonts w:ascii="Times New Roman" w:hAnsi="Times New Roman" w:cs="Times New Roman"/>
          <w:sz w:val="20"/>
          <w:szCs w:val="20"/>
        </w:rPr>
        <w:t>«зеленої» економіки.</w:t>
      </w:r>
    </w:p>
    <w:p w14:paraId="21051FB7" w14:textId="51D92F29" w:rsidR="009D1E79" w:rsidRPr="00555834" w:rsidRDefault="009D1E79" w:rsidP="009D1E85">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b/>
          <w:sz w:val="20"/>
          <w:szCs w:val="20"/>
        </w:rPr>
        <w:t>«зелена</w:t>
      </w:r>
      <w:r w:rsidR="004F2E9B" w:rsidRPr="00555834">
        <w:rPr>
          <w:rFonts w:ascii="Times New Roman" w:hAnsi="Times New Roman" w:cs="Times New Roman"/>
          <w:b/>
          <w:sz w:val="20"/>
          <w:szCs w:val="20"/>
        </w:rPr>
        <w:t>» енергетика</w:t>
      </w:r>
      <w:r w:rsidRPr="00555834">
        <w:rPr>
          <w:rFonts w:ascii="Times New Roman" w:hAnsi="Times New Roman" w:cs="Times New Roman"/>
          <w:b/>
          <w:sz w:val="20"/>
          <w:szCs w:val="20"/>
        </w:rPr>
        <w:t xml:space="preserve">. </w:t>
      </w:r>
      <w:r w:rsidRPr="00555834">
        <w:rPr>
          <w:rFonts w:ascii="Times New Roman" w:hAnsi="Times New Roman" w:cs="Times New Roman"/>
          <w:sz w:val="20"/>
          <w:szCs w:val="20"/>
        </w:rPr>
        <w:t>За очікуваннями ООН, за два роки переходу до «зеленої» економіки реально може бути закладена нова інфраструктура майбутньої світової економіки. Сучасна високотехнологічна чиста енергетика прискорює трансформацію структури енергетичного та інших ринків, створює попит на широкий спектр інновацій і стимулює розвиток підприємництва для впровадження інноваційних розробок. Якщо атомна енергетика та космічні проекти становили кістяк інновацій, які змінили світ 50 років тому, то в майбутньому 80-90% інноваційних рішень можуть становити «зелені» технології та інновації, насамперед у сфері безпечної відновлювальної енергетики.</w:t>
      </w:r>
    </w:p>
    <w:p w14:paraId="5C9E6940" w14:textId="6DD58978"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Дослідження ЮНЕП доводять, що щорічне інвестування приблизно 1,25% світового ВВП у підвищення енергоефективності та відновлювальну енергетику допоможе скоротити світовий попит на первинну енергію на 9% до 2020 року і майже на 40% – у 2050 році. Зайнятість у секторі енергетики зросте на 20% порівняно зі сценарієм інерційного розвитку, ураховуючи, що до середини століття відновлювальна енергетика буде забезпечувати до 30% світового попиту на первинну енергію.</w:t>
      </w:r>
    </w:p>
    <w:p w14:paraId="443897D0" w14:textId="1E333C05"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 xml:space="preserve">Центральну роль у прискоренні нової технологічної хвилі буде відігравати розвиток </w:t>
      </w:r>
      <w:r w:rsidRPr="00555834">
        <w:rPr>
          <w:rFonts w:ascii="Times New Roman" w:hAnsi="Times New Roman" w:cs="Times New Roman"/>
          <w:b/>
          <w:sz w:val="20"/>
          <w:szCs w:val="20"/>
        </w:rPr>
        <w:t>екологічно чистих енергетичних технологій</w:t>
      </w:r>
      <w:r w:rsidRPr="00555834">
        <w:rPr>
          <w:rFonts w:ascii="Times New Roman" w:hAnsi="Times New Roman" w:cs="Times New Roman"/>
          <w:sz w:val="20"/>
          <w:szCs w:val="20"/>
        </w:rPr>
        <w:t xml:space="preserve">, а також </w:t>
      </w:r>
      <w:r w:rsidRPr="00555834">
        <w:rPr>
          <w:rFonts w:ascii="Times New Roman" w:hAnsi="Times New Roman" w:cs="Times New Roman"/>
          <w:sz w:val="20"/>
          <w:szCs w:val="20"/>
        </w:rPr>
        <w:lastRenderedPageBreak/>
        <w:t>формування нової архітектури фінансування досліджень та впровадження цих технологій.</w:t>
      </w:r>
    </w:p>
    <w:p w14:paraId="6FC9CF4B" w14:textId="25142F67" w:rsidR="009D1E79" w:rsidRPr="00555834" w:rsidRDefault="009D1E79" w:rsidP="006A0859">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 xml:space="preserve">Загалом «зелена» галузь в Україні на сьогодні є інвестиційно «нестабільною» для іноземного інвестора через стан економіки та суперечливі рішення енергетичних чиновників. Упродовж останніх двох років сектор отримав негативні, стримувальні розвиток сигнали: недотримання законодавчих норм щодо перерахунку </w:t>
      </w:r>
      <w:r w:rsidRPr="00555834">
        <w:rPr>
          <w:rFonts w:ascii="Times New Roman" w:hAnsi="Times New Roman" w:cs="Times New Roman"/>
          <w:b/>
          <w:sz w:val="20"/>
          <w:szCs w:val="20"/>
        </w:rPr>
        <w:t xml:space="preserve">«зелених» тарифів </w:t>
      </w:r>
      <w:r w:rsidRPr="00555834">
        <w:rPr>
          <w:rFonts w:ascii="Times New Roman" w:hAnsi="Times New Roman" w:cs="Times New Roman"/>
          <w:sz w:val="20"/>
          <w:szCs w:val="20"/>
        </w:rPr>
        <w:t>відповідно до зміни курсу євро в кінці 2014 року, неправомірне зниження рівнів «зелених» тарифів на початку 2015 року. Додатковим несприятливим фактором є введення фінансової відповідальності за дисбаланси (відхилення фактичних обсягів виробництва електроенергії від планових) виробників електроенергії з ВДЕ, які на сьогодні становлять трохи більше 1% ринку енергетики. Крім того, ДП «Енергоринок», яке відповідно до українського законодавства виступає гарантом закупівлі усієї виробленої енергії ВДЕ до кінця терміну дії «зеленого» тарифу, сьогодні відмовляється укладати з виробниками договори з купівлі-продажу електричної енергії з ВДЕ до 2030 року, що перешкоджає припливу інвестицій у галузь через</w:t>
      </w:r>
      <w:r w:rsidR="006A0859" w:rsidRPr="00555834">
        <w:rPr>
          <w:rFonts w:ascii="Times New Roman" w:hAnsi="Times New Roman" w:cs="Times New Roman"/>
          <w:sz w:val="20"/>
          <w:szCs w:val="20"/>
        </w:rPr>
        <w:t xml:space="preserve"> </w:t>
      </w:r>
      <w:r w:rsidRPr="00555834">
        <w:rPr>
          <w:rFonts w:ascii="Times New Roman" w:hAnsi="Times New Roman" w:cs="Times New Roman"/>
          <w:sz w:val="20"/>
          <w:szCs w:val="20"/>
        </w:rPr>
        <w:t>унеможливлення розрахунку фінансового результату за проектами ВДЕ.</w:t>
      </w:r>
    </w:p>
    <w:p w14:paraId="2C2263C9" w14:textId="396C1C6B"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 xml:space="preserve">Згідно з прийнятою </w:t>
      </w:r>
      <w:r w:rsidRPr="00555834">
        <w:rPr>
          <w:rFonts w:ascii="Times New Roman" w:hAnsi="Times New Roman" w:cs="Times New Roman"/>
          <w:b/>
          <w:sz w:val="20"/>
          <w:szCs w:val="20"/>
        </w:rPr>
        <w:t xml:space="preserve">енергетичною стратегією України до 2030 року </w:t>
      </w:r>
      <w:r w:rsidRPr="00555834">
        <w:rPr>
          <w:rFonts w:ascii="Times New Roman" w:hAnsi="Times New Roman" w:cs="Times New Roman"/>
          <w:sz w:val="20"/>
          <w:szCs w:val="20"/>
        </w:rPr>
        <w:t xml:space="preserve">та Національним планом дій з відновлюваної енергетики на період до 2030 року, Україна має поступово перейти на </w:t>
      </w:r>
      <w:r w:rsidRPr="00555834">
        <w:rPr>
          <w:rFonts w:ascii="Times New Roman" w:hAnsi="Times New Roman" w:cs="Times New Roman"/>
          <w:b/>
          <w:sz w:val="20"/>
          <w:szCs w:val="20"/>
        </w:rPr>
        <w:t xml:space="preserve">відновлювальні джерела енергії </w:t>
      </w:r>
      <w:r w:rsidRPr="00555834">
        <w:rPr>
          <w:rFonts w:ascii="Times New Roman" w:hAnsi="Times New Roman" w:cs="Times New Roman"/>
          <w:sz w:val="20"/>
          <w:szCs w:val="20"/>
        </w:rPr>
        <w:t>. Причому вплив «зеленого» тарифу на вартість електроенергії для споживача значно менший ніж дотації традиційної енергетики. Натомість очевидним є постійне стабільне підвищення тарифів, причина яких – занадто великі дотації традиційної енергетики.</w:t>
      </w:r>
    </w:p>
    <w:p w14:paraId="3E5AF375" w14:textId="594B0933"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Основним завданням та напрямом реалізації Енергетичної стратегії є збалансування цінової політики щодо енергетичних продуктів, яка має забезпечити покриття витрат на їх виробництво та створення відповідних умов для надійного функціонування і сталого розвитку підприємств ПЕК.</w:t>
      </w:r>
    </w:p>
    <w:p w14:paraId="423A9663" w14:textId="773BA9C7"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Стратегічною метою розвитку промислового комплексу України в період 2021–2030 рр. передбачено еволюційний перехід до сталого розвитку в постіндустріальному світовому суспільстві на підґрунті збереження та безпеки життєвого простору людини, здійснення промислової діяльності з найменшими витратами за рахунок високоефективного використання матеріального та інтелектуального потенціалу.</w:t>
      </w:r>
    </w:p>
    <w:p w14:paraId="5CA8275C" w14:textId="45D24E16"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Серед головних напрямів енергетичної політики України з точки зору забезпечення енергетичної безпеки, зокрема, визначено підвищення надійності та ефективності енергопостачання, забезпечення ефективного та сталого розвитку паливно-енергетичного комплексу.</w:t>
      </w:r>
    </w:p>
    <w:p w14:paraId="66BC0704" w14:textId="62B3ECBB" w:rsidR="009D1E79" w:rsidRPr="00555834" w:rsidRDefault="009D1E79" w:rsidP="00E21F18">
      <w:pPr>
        <w:adjustRightInd w:val="0"/>
        <w:snapToGrid w:val="0"/>
        <w:spacing w:after="0" w:line="240" w:lineRule="auto"/>
        <w:ind w:firstLine="567"/>
        <w:jc w:val="both"/>
        <w:rPr>
          <w:rFonts w:ascii="Times New Roman" w:hAnsi="Times New Roman" w:cs="Times New Roman"/>
          <w:b/>
          <w:sz w:val="20"/>
          <w:szCs w:val="20"/>
        </w:rPr>
      </w:pPr>
      <w:r w:rsidRPr="00555834">
        <w:rPr>
          <w:rFonts w:ascii="Times New Roman" w:hAnsi="Times New Roman" w:cs="Times New Roman"/>
          <w:sz w:val="20"/>
          <w:szCs w:val="20"/>
        </w:rPr>
        <w:t xml:space="preserve">Тому на часі розроблення нового програмного документа, який має врахувати особливості сьогодення та створити ефективний і реалістичний програмний документ, що координуватиме зусилля держави, бізнес-кіл та громадськості на цілеспрямований розвиток сонячної енергетики, </w:t>
      </w:r>
      <w:r w:rsidRPr="00555834">
        <w:rPr>
          <w:rFonts w:ascii="Times New Roman" w:hAnsi="Times New Roman" w:cs="Times New Roman"/>
          <w:sz w:val="20"/>
          <w:szCs w:val="20"/>
        </w:rPr>
        <w:lastRenderedPageBreak/>
        <w:t xml:space="preserve">біоенергетики та відновлювальної енергетики в цілому. На сьогодні </w:t>
      </w:r>
      <w:r w:rsidRPr="00555834">
        <w:rPr>
          <w:rFonts w:ascii="Times New Roman" w:hAnsi="Times New Roman" w:cs="Times New Roman"/>
          <w:b/>
          <w:sz w:val="20"/>
          <w:szCs w:val="20"/>
        </w:rPr>
        <w:t>нормативно-правове поле розвитку відновлювальної енергетики</w:t>
      </w:r>
      <w:r w:rsidR="00E21F18" w:rsidRPr="00555834">
        <w:rPr>
          <w:rFonts w:ascii="Times New Roman" w:hAnsi="Times New Roman" w:cs="Times New Roman"/>
          <w:b/>
          <w:sz w:val="20"/>
          <w:szCs w:val="20"/>
        </w:rPr>
        <w:t xml:space="preserve"> </w:t>
      </w:r>
      <w:r w:rsidRPr="00555834">
        <w:rPr>
          <w:rFonts w:ascii="Times New Roman" w:hAnsi="Times New Roman" w:cs="Times New Roman"/>
          <w:sz w:val="20"/>
          <w:szCs w:val="20"/>
        </w:rPr>
        <w:t>доволі потужне, у сфері енергоефективності в цілому в Україні діє більше</w:t>
      </w:r>
    </w:p>
    <w:p w14:paraId="56661F2F" w14:textId="244FAE81"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 xml:space="preserve">250 актів законодавства: 11 Законів України, 15 Указів Президента України, 170 рішень Уряду, інші підзаконні акти. На сьогодні у сфері енергоефективності діє більше </w:t>
      </w:r>
      <w:r w:rsidRPr="00555834">
        <w:rPr>
          <w:rFonts w:ascii="Times New Roman" w:hAnsi="Times New Roman" w:cs="Times New Roman"/>
          <w:b/>
          <w:sz w:val="20"/>
          <w:szCs w:val="20"/>
        </w:rPr>
        <w:t>50 національних стандартів групи «енергозбереження»</w:t>
      </w:r>
      <w:r w:rsidRPr="00555834">
        <w:rPr>
          <w:rFonts w:ascii="Times New Roman" w:hAnsi="Times New Roman" w:cs="Times New Roman"/>
          <w:sz w:val="20"/>
          <w:szCs w:val="20"/>
        </w:rPr>
        <w:t xml:space="preserve">. Нормативна база </w:t>
      </w:r>
      <w:r w:rsidRPr="00555834">
        <w:rPr>
          <w:rFonts w:ascii="Times New Roman" w:hAnsi="Times New Roman" w:cs="Times New Roman"/>
          <w:b/>
          <w:sz w:val="20"/>
          <w:szCs w:val="20"/>
        </w:rPr>
        <w:t xml:space="preserve">«зеленої» модернізації в галузі відновлювальної та низьковуглецевої </w:t>
      </w:r>
      <w:r w:rsidRPr="00555834">
        <w:rPr>
          <w:rFonts w:ascii="Times New Roman" w:hAnsi="Times New Roman" w:cs="Times New Roman"/>
          <w:sz w:val="20"/>
          <w:szCs w:val="20"/>
        </w:rPr>
        <w:t>енергетики забезпечує скорочення викидів парникових газів та протидії кліматичним змінам згідно з національним законодавством.</w:t>
      </w:r>
    </w:p>
    <w:p w14:paraId="26B58B95" w14:textId="1670933A" w:rsidR="009D1E79" w:rsidRPr="00555834" w:rsidRDefault="009D1E79" w:rsidP="004F2E9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Відповідно до глобальни</w:t>
      </w:r>
      <w:r w:rsidR="00732FA2">
        <w:rPr>
          <w:rFonts w:ascii="Times New Roman" w:hAnsi="Times New Roman" w:cs="Times New Roman"/>
          <w:sz w:val="20"/>
          <w:szCs w:val="20"/>
        </w:rPr>
        <w:t>х</w:t>
      </w:r>
      <w:r w:rsidRPr="00555834">
        <w:rPr>
          <w:rFonts w:ascii="Times New Roman" w:hAnsi="Times New Roman" w:cs="Times New Roman"/>
          <w:sz w:val="20"/>
          <w:szCs w:val="20"/>
        </w:rPr>
        <w:t xml:space="preserve"> викликів необхідна Стратегія низьковуглецевого розвитку економік</w:t>
      </w:r>
      <w:r w:rsidR="00732FA2">
        <w:rPr>
          <w:rFonts w:ascii="Times New Roman" w:hAnsi="Times New Roman" w:cs="Times New Roman"/>
          <w:sz w:val="20"/>
          <w:szCs w:val="20"/>
        </w:rPr>
        <w:t xml:space="preserve"> </w:t>
      </w:r>
      <w:r w:rsidRPr="00555834">
        <w:rPr>
          <w:rFonts w:ascii="Times New Roman" w:hAnsi="Times New Roman" w:cs="Times New Roman"/>
          <w:sz w:val="20"/>
          <w:szCs w:val="20"/>
        </w:rPr>
        <w:t xml:space="preserve"> України на довгостроковий період. При цьому податкове навантаження на розвиток відновлювальної енергетики на сьогодні має враховувати дві принципові позиції. Перша – потенціал дії </w:t>
      </w:r>
      <w:r w:rsidRPr="00555834">
        <w:rPr>
          <w:rFonts w:ascii="Times New Roman" w:hAnsi="Times New Roman" w:cs="Times New Roman"/>
          <w:b/>
          <w:sz w:val="20"/>
          <w:szCs w:val="20"/>
        </w:rPr>
        <w:t xml:space="preserve">«зеленого тарифу» </w:t>
      </w:r>
      <w:r w:rsidRPr="00555834">
        <w:rPr>
          <w:rFonts w:ascii="Times New Roman" w:hAnsi="Times New Roman" w:cs="Times New Roman"/>
          <w:sz w:val="20"/>
          <w:szCs w:val="20"/>
        </w:rPr>
        <w:t xml:space="preserve">як частину важливої стимульної ролі цього процесу, а друге – відсутність дієвих важелів податкового впливу на розвиток відновлювальної енергетики через такі традиційні для Європи стимули, як </w:t>
      </w:r>
      <w:r w:rsidRPr="00555834">
        <w:rPr>
          <w:rFonts w:ascii="Times New Roman" w:hAnsi="Times New Roman" w:cs="Times New Roman"/>
          <w:b/>
          <w:sz w:val="20"/>
          <w:szCs w:val="20"/>
        </w:rPr>
        <w:t>податкові пільги, податкові канікули</w:t>
      </w:r>
      <w:r w:rsidRPr="00555834">
        <w:rPr>
          <w:rFonts w:ascii="Times New Roman" w:hAnsi="Times New Roman" w:cs="Times New Roman"/>
          <w:sz w:val="20"/>
          <w:szCs w:val="20"/>
        </w:rPr>
        <w:t>, спрощення адміністрування, упорядкування управлінського моніторингу, тобто контролю з боку влади за реалізацією проектів, скорочення перевірок, створення платформ для громадського обговорення таких проектів для підвищення суспільної обізнаності з цих питань та у сфері проектування «зеленої модернізації» тощо. У світі є чимало прикладів такого стимулювання, які мають як позитивний, так і сумнівний для України досвід. Наприклад, Німеччина запроваджує тариф для електроенергії, який залежить від обсягу генерування енергії з боку відновлювальних джерел, і тому тариф для кінцевого споживача є вищим на півночі країни, де таких установок більше. У Данії споживачі послуг електроенергії  фактично  оплачують</w:t>
      </w:r>
      <w:r w:rsidR="004F2E9B">
        <w:rPr>
          <w:rFonts w:ascii="Times New Roman" w:hAnsi="Times New Roman" w:cs="Times New Roman"/>
          <w:sz w:val="20"/>
          <w:szCs w:val="20"/>
        </w:rPr>
        <w:t xml:space="preserve"> </w:t>
      </w:r>
      <w:r w:rsidRPr="00555834">
        <w:rPr>
          <w:rFonts w:ascii="Times New Roman" w:hAnsi="Times New Roman" w:cs="Times New Roman"/>
          <w:sz w:val="20"/>
          <w:szCs w:val="20"/>
        </w:rPr>
        <w:t>«зелений»  тариф  власними  коштами</w:t>
      </w:r>
      <w:r w:rsidR="004F2E9B">
        <w:rPr>
          <w:rFonts w:ascii="Times New Roman" w:hAnsi="Times New Roman" w:cs="Times New Roman"/>
          <w:sz w:val="20"/>
          <w:szCs w:val="20"/>
        </w:rPr>
        <w:t xml:space="preserve"> </w:t>
      </w:r>
      <w:r w:rsidRPr="00555834">
        <w:rPr>
          <w:rFonts w:ascii="Times New Roman" w:hAnsi="Times New Roman" w:cs="Times New Roman"/>
          <w:sz w:val="20"/>
          <w:szCs w:val="20"/>
        </w:rPr>
        <w:t>через субсидування відновлювальної енергетики та фінансове пригнічення традиційної енергетики, тобто через тарифи  стимулюється  розвиток  саме</w:t>
      </w:r>
      <w:r w:rsidR="00D878C2" w:rsidRPr="00555834">
        <w:rPr>
          <w:rFonts w:ascii="Times New Roman" w:hAnsi="Times New Roman" w:cs="Times New Roman"/>
          <w:sz w:val="20"/>
          <w:szCs w:val="20"/>
        </w:rPr>
        <w:t xml:space="preserve">  </w:t>
      </w:r>
      <w:r w:rsidRPr="00555834">
        <w:rPr>
          <w:rFonts w:ascii="Times New Roman" w:hAnsi="Times New Roman" w:cs="Times New Roman"/>
          <w:sz w:val="20"/>
          <w:szCs w:val="20"/>
        </w:rPr>
        <w:t>відновлювальних джерел та технологій генерування. Щоб компенсувати відносно високі витрати на вітроенергією, у країні були різко підвищені комунальні тарифи. За рівнем цін на електроенергію та природний газ для домогосподарств (відповідно 26.32 євроцента за 1 кВтг і EUR1054 за 1 тис куб м) Данія посідає (з великим відривом) перше місце в країнах Євросоюзу. За словами данських чиновників, ті, хто використовують традиційні енергоносії, повинні оплачувати витрати на створення та утримання альтернативної енергетики в країні.</w:t>
      </w:r>
    </w:p>
    <w:p w14:paraId="1DB8AB52" w14:textId="0F06499E"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 xml:space="preserve">Для України, за оцінками експертів, найбільш доцільним є сприяння через інституційне середовище та нормативно-правове поле </w:t>
      </w:r>
      <w:r w:rsidRPr="00555834">
        <w:rPr>
          <w:rFonts w:ascii="Times New Roman" w:hAnsi="Times New Roman" w:cs="Times New Roman"/>
          <w:b/>
          <w:sz w:val="20"/>
          <w:szCs w:val="20"/>
        </w:rPr>
        <w:t xml:space="preserve">спрощенню податкового навантаження на всі проекти та технології з відновлювальної енергетики </w:t>
      </w:r>
      <w:r w:rsidRPr="00555834">
        <w:rPr>
          <w:rFonts w:ascii="Times New Roman" w:hAnsi="Times New Roman" w:cs="Times New Roman"/>
          <w:sz w:val="20"/>
          <w:szCs w:val="20"/>
        </w:rPr>
        <w:t xml:space="preserve">через запровадження заходів стимулювання з </w:t>
      </w:r>
      <w:r w:rsidRPr="00555834">
        <w:rPr>
          <w:rFonts w:ascii="Times New Roman" w:hAnsi="Times New Roman" w:cs="Times New Roman"/>
          <w:sz w:val="20"/>
          <w:szCs w:val="20"/>
        </w:rPr>
        <w:lastRenderedPageBreak/>
        <w:t>подальшим вирівнюванням загального платіжного балансу через компанії традиційного генерування енергії.</w:t>
      </w:r>
    </w:p>
    <w:p w14:paraId="50913A9C" w14:textId="16F948C1"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b/>
          <w:sz w:val="20"/>
          <w:szCs w:val="20"/>
        </w:rPr>
        <w:t>«</w:t>
      </w:r>
      <w:r w:rsidR="004F2E9B" w:rsidRPr="00555834">
        <w:rPr>
          <w:rFonts w:ascii="Times New Roman" w:hAnsi="Times New Roman" w:cs="Times New Roman"/>
          <w:b/>
          <w:sz w:val="20"/>
          <w:szCs w:val="20"/>
        </w:rPr>
        <w:t>зелена» індустрія та технологічний</w:t>
      </w:r>
      <w:r w:rsidR="004F2E9B">
        <w:rPr>
          <w:rFonts w:ascii="Times New Roman" w:hAnsi="Times New Roman" w:cs="Times New Roman"/>
          <w:b/>
          <w:sz w:val="20"/>
          <w:szCs w:val="20"/>
        </w:rPr>
        <w:t xml:space="preserve"> </w:t>
      </w:r>
      <w:r w:rsidR="004F2E9B" w:rsidRPr="00555834">
        <w:rPr>
          <w:rFonts w:ascii="Times New Roman" w:hAnsi="Times New Roman" w:cs="Times New Roman"/>
          <w:b/>
          <w:sz w:val="20"/>
          <w:szCs w:val="20"/>
        </w:rPr>
        <w:t xml:space="preserve">розвиток. </w:t>
      </w:r>
      <w:r w:rsidRPr="00555834">
        <w:rPr>
          <w:rFonts w:ascii="Times New Roman" w:hAnsi="Times New Roman" w:cs="Times New Roman"/>
          <w:sz w:val="20"/>
          <w:szCs w:val="20"/>
        </w:rPr>
        <w:t>Технологічна модернізація і трансформація промисловості в більш «зелену» та ресурсноефективну, з мінімальним вилученням первинних ресурсів, низькими рівнями викидів і відходами забруднювальних речовин є ключовим компонентом політики «зеленого» зростання. «Зелена» індустрія або «зелені» сектори економіки покликані впроваджувати нові джерела зростання, пов’язані з ефективним використанням природних ресурсів та чистих технологій, в екологічну продукцію і послуги, а, відповідно, у прибутки компаній «зеленого» бізнесу. Сприяння їх розвитку та екологізації традиційних моделей ведення бізнесу є головним завданням стратегій переходу до «зеленої» економіки, оскільки промисловість є одним з найбільших споживачів природних ресурсів та водночас забруднювачів довкілля.</w:t>
      </w:r>
    </w:p>
    <w:p w14:paraId="697A49A4" w14:textId="6D2E9504" w:rsidR="004F2E9B" w:rsidRDefault="009D1E79" w:rsidP="0024429C">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ЮНІДО визначає розбудову «зеленої» індустрії як нову концепцію діяльності</w:t>
      </w:r>
      <w:r w:rsidR="0024429C" w:rsidRPr="00555834">
        <w:rPr>
          <w:rFonts w:ascii="Times New Roman" w:hAnsi="Times New Roman" w:cs="Times New Roman"/>
          <w:sz w:val="20"/>
          <w:szCs w:val="20"/>
        </w:rPr>
        <w:t xml:space="preserve"> </w:t>
      </w:r>
      <w:r w:rsidRPr="00555834">
        <w:rPr>
          <w:rFonts w:ascii="Times New Roman" w:hAnsi="Times New Roman" w:cs="Times New Roman"/>
          <w:sz w:val="20"/>
          <w:szCs w:val="20"/>
        </w:rPr>
        <w:t xml:space="preserve">бізнесу за </w:t>
      </w:r>
      <w:r w:rsidRPr="00555834">
        <w:rPr>
          <w:rFonts w:ascii="Times New Roman" w:hAnsi="Times New Roman" w:cs="Times New Roman"/>
          <w:b/>
          <w:sz w:val="20"/>
          <w:szCs w:val="20"/>
        </w:rPr>
        <w:t xml:space="preserve">принципом </w:t>
      </w:r>
      <w:r w:rsidRPr="00555834">
        <w:rPr>
          <w:rFonts w:ascii="Times New Roman" w:hAnsi="Times New Roman" w:cs="Times New Roman"/>
          <w:b/>
          <w:i/>
          <w:sz w:val="20"/>
          <w:szCs w:val="20"/>
        </w:rPr>
        <w:t>«виробляти більше,</w:t>
      </w:r>
      <w:r w:rsidR="0024429C" w:rsidRPr="00555834">
        <w:rPr>
          <w:rFonts w:ascii="Times New Roman" w:hAnsi="Times New Roman" w:cs="Times New Roman"/>
          <w:b/>
          <w:i/>
          <w:sz w:val="20"/>
          <w:szCs w:val="20"/>
        </w:rPr>
        <w:t xml:space="preserve"> </w:t>
      </w:r>
      <w:r w:rsidRPr="00555834">
        <w:rPr>
          <w:rFonts w:ascii="Times New Roman" w:hAnsi="Times New Roman" w:cs="Times New Roman"/>
          <w:b/>
          <w:i/>
          <w:sz w:val="20"/>
          <w:szCs w:val="20"/>
        </w:rPr>
        <w:t xml:space="preserve"> використовуючи</w:t>
      </w:r>
      <w:r w:rsidR="0024429C" w:rsidRPr="00555834">
        <w:rPr>
          <w:rFonts w:ascii="Times New Roman" w:hAnsi="Times New Roman" w:cs="Times New Roman"/>
          <w:b/>
          <w:i/>
          <w:sz w:val="20"/>
          <w:szCs w:val="20"/>
        </w:rPr>
        <w:t xml:space="preserve"> </w:t>
      </w:r>
      <w:r w:rsidRPr="00555834">
        <w:rPr>
          <w:rFonts w:ascii="Times New Roman" w:hAnsi="Times New Roman" w:cs="Times New Roman"/>
          <w:b/>
          <w:i/>
          <w:sz w:val="20"/>
          <w:szCs w:val="20"/>
        </w:rPr>
        <w:t>менше ресурсів і створюючи менший негативний</w:t>
      </w:r>
      <w:r w:rsidR="0024429C" w:rsidRPr="00555834">
        <w:rPr>
          <w:rFonts w:ascii="Times New Roman" w:hAnsi="Times New Roman" w:cs="Times New Roman"/>
          <w:b/>
          <w:i/>
          <w:sz w:val="20"/>
          <w:szCs w:val="20"/>
        </w:rPr>
        <w:t xml:space="preserve"> </w:t>
      </w:r>
      <w:r w:rsidRPr="00555834">
        <w:rPr>
          <w:rFonts w:ascii="Times New Roman" w:hAnsi="Times New Roman" w:cs="Times New Roman"/>
          <w:b/>
          <w:i/>
          <w:sz w:val="20"/>
          <w:szCs w:val="20"/>
        </w:rPr>
        <w:t>вплив»</w:t>
      </w:r>
      <w:r w:rsidR="009C2BC3">
        <w:rPr>
          <w:rFonts w:ascii="Times New Roman" w:hAnsi="Times New Roman" w:cs="Times New Roman"/>
          <w:b/>
          <w:i/>
          <w:sz w:val="20"/>
          <w:szCs w:val="20"/>
        </w:rPr>
        <w:t xml:space="preserve"> </w:t>
      </w:r>
      <w:r w:rsidRPr="00555834">
        <w:rPr>
          <w:rFonts w:ascii="Times New Roman" w:hAnsi="Times New Roman" w:cs="Times New Roman"/>
          <w:sz w:val="20"/>
          <w:szCs w:val="20"/>
        </w:rPr>
        <w:t>через</w:t>
      </w:r>
      <w:r w:rsidR="009C2BC3">
        <w:rPr>
          <w:rFonts w:ascii="Times New Roman" w:hAnsi="Times New Roman" w:cs="Times New Roman"/>
          <w:sz w:val="20"/>
          <w:szCs w:val="20"/>
        </w:rPr>
        <w:t xml:space="preserve"> </w:t>
      </w:r>
      <w:r w:rsidRPr="00555834">
        <w:rPr>
          <w:rFonts w:ascii="Times New Roman" w:hAnsi="Times New Roman" w:cs="Times New Roman"/>
          <w:sz w:val="20"/>
          <w:szCs w:val="20"/>
        </w:rPr>
        <w:t>безперервне поліпшення</w:t>
      </w:r>
      <w:r w:rsidR="0024429C" w:rsidRPr="00555834">
        <w:rPr>
          <w:rFonts w:ascii="Times New Roman" w:hAnsi="Times New Roman" w:cs="Times New Roman"/>
          <w:sz w:val="20"/>
          <w:szCs w:val="20"/>
        </w:rPr>
        <w:t xml:space="preserve"> </w:t>
      </w:r>
      <w:r w:rsidRPr="00555834">
        <w:rPr>
          <w:rFonts w:ascii="Times New Roman" w:hAnsi="Times New Roman" w:cs="Times New Roman"/>
          <w:sz w:val="20"/>
          <w:szCs w:val="20"/>
        </w:rPr>
        <w:t>екологічних</w:t>
      </w:r>
      <w:r w:rsidR="0024429C" w:rsidRPr="00555834">
        <w:rPr>
          <w:rFonts w:ascii="Times New Roman" w:hAnsi="Times New Roman" w:cs="Times New Roman"/>
          <w:sz w:val="20"/>
          <w:szCs w:val="20"/>
        </w:rPr>
        <w:t xml:space="preserve"> </w:t>
      </w:r>
      <w:r w:rsidRPr="00555834">
        <w:rPr>
          <w:rFonts w:ascii="Times New Roman" w:hAnsi="Times New Roman" w:cs="Times New Roman"/>
          <w:sz w:val="20"/>
          <w:szCs w:val="20"/>
        </w:rPr>
        <w:t>характеристик усіх галузей, незалежно від сектора, розміру та розташування. У цьому контексті «зелена» індустрія включає не тільки промисловий сектор, а й енергетику, агробізнес, перероблення відходів. Проте проблема високої матеріалота енергоємності виробництва і споживання, деградації довкілля та низької продуктивності національної економіки, особливо у промисловості та аграрному секторі</w:t>
      </w:r>
      <w:r w:rsidR="004F2E9B">
        <w:rPr>
          <w:rFonts w:ascii="Times New Roman" w:hAnsi="Times New Roman" w:cs="Times New Roman"/>
          <w:sz w:val="20"/>
          <w:szCs w:val="20"/>
        </w:rPr>
        <w:t xml:space="preserve"> є </w:t>
      </w:r>
      <w:r w:rsidRPr="00555834">
        <w:rPr>
          <w:rFonts w:ascii="Times New Roman" w:hAnsi="Times New Roman" w:cs="Times New Roman"/>
          <w:sz w:val="20"/>
          <w:szCs w:val="20"/>
        </w:rPr>
        <w:t>нерозв’язаною.</w:t>
      </w:r>
    </w:p>
    <w:p w14:paraId="7ADECB32" w14:textId="1C250B5D" w:rsidR="009D1E79" w:rsidRPr="00555834" w:rsidRDefault="004F2E9B" w:rsidP="004F2E9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 xml:space="preserve"> </w:t>
      </w:r>
      <w:r w:rsidR="009D1E79" w:rsidRPr="00555834">
        <w:rPr>
          <w:rFonts w:ascii="Times New Roman" w:hAnsi="Times New Roman" w:cs="Times New Roman"/>
          <w:sz w:val="20"/>
          <w:szCs w:val="20"/>
        </w:rPr>
        <w:t>Економіка продовжує орієнтуватися на мінливу зовнішню кон’юнктуру та сировинний експорт, імпортує енергетичні ресурси, не дбаючи про розвиток сучасних виробництв, інфраструктури та припинення</w:t>
      </w:r>
      <w:r>
        <w:rPr>
          <w:rFonts w:ascii="Times New Roman" w:hAnsi="Times New Roman" w:cs="Times New Roman"/>
          <w:sz w:val="20"/>
          <w:szCs w:val="20"/>
        </w:rPr>
        <w:t xml:space="preserve"> </w:t>
      </w:r>
      <w:r w:rsidR="009D1E79" w:rsidRPr="00555834">
        <w:rPr>
          <w:rFonts w:ascii="Times New Roman" w:hAnsi="Times New Roman" w:cs="Times New Roman"/>
          <w:sz w:val="20"/>
          <w:szCs w:val="20"/>
        </w:rPr>
        <w:t>деградації території країни.</w:t>
      </w:r>
    </w:p>
    <w:p w14:paraId="50263666" w14:textId="54319CCA"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 xml:space="preserve">Безумовно, екологізація передбачає певні обсяги фінансування. Так, лише для скорочення енергоємності </w:t>
      </w:r>
      <w:r w:rsidRPr="00555834">
        <w:rPr>
          <w:rFonts w:ascii="Times New Roman" w:hAnsi="Times New Roman" w:cs="Times New Roman"/>
          <w:b/>
          <w:sz w:val="20"/>
          <w:szCs w:val="20"/>
        </w:rPr>
        <w:t>ВВП на 20% до 2015 року, яке передбачене державною програмою енергоефективності на 2010-2015 роки</w:t>
      </w:r>
      <w:r w:rsidRPr="00555834">
        <w:rPr>
          <w:rFonts w:ascii="Times New Roman" w:hAnsi="Times New Roman" w:cs="Times New Roman"/>
          <w:sz w:val="20"/>
          <w:szCs w:val="20"/>
        </w:rPr>
        <w:t>, Україні необхідно буде здійснити серйозні інвестиції в модернізацію енергетичної інфраструктури та впровадження сучасних енергоефективних технологій як у виробництвах з високою інтенсивністю споживання енергоресурсів, так і ком</w:t>
      </w:r>
      <w:r w:rsidR="004F2E9B">
        <w:rPr>
          <w:rFonts w:ascii="Times New Roman" w:hAnsi="Times New Roman" w:cs="Times New Roman"/>
          <w:sz w:val="20"/>
          <w:szCs w:val="20"/>
        </w:rPr>
        <w:t>у</w:t>
      </w:r>
      <w:r w:rsidRPr="00555834">
        <w:rPr>
          <w:rFonts w:ascii="Times New Roman" w:hAnsi="Times New Roman" w:cs="Times New Roman"/>
          <w:sz w:val="20"/>
          <w:szCs w:val="20"/>
        </w:rPr>
        <w:t>нальному секторі.</w:t>
      </w:r>
    </w:p>
    <w:p w14:paraId="6501BCFF" w14:textId="325FE01C"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 xml:space="preserve">Упровадження </w:t>
      </w:r>
      <w:r w:rsidRPr="00555834">
        <w:rPr>
          <w:rFonts w:ascii="Times New Roman" w:hAnsi="Times New Roman" w:cs="Times New Roman"/>
          <w:b/>
          <w:sz w:val="20"/>
          <w:szCs w:val="20"/>
        </w:rPr>
        <w:t xml:space="preserve">новітніх «зелених» технологій </w:t>
      </w:r>
      <w:r w:rsidRPr="00555834">
        <w:rPr>
          <w:rFonts w:ascii="Times New Roman" w:hAnsi="Times New Roman" w:cs="Times New Roman"/>
          <w:sz w:val="20"/>
          <w:szCs w:val="20"/>
        </w:rPr>
        <w:t xml:space="preserve">у практику роботи українських підприємств поряд з </w:t>
      </w:r>
      <w:r w:rsidRPr="00555834">
        <w:rPr>
          <w:rFonts w:ascii="Times New Roman" w:hAnsi="Times New Roman" w:cs="Times New Roman"/>
          <w:b/>
          <w:sz w:val="20"/>
          <w:szCs w:val="20"/>
        </w:rPr>
        <w:t xml:space="preserve">інструментарієм ресурсно-ефективного та більш чистого виробництва </w:t>
      </w:r>
      <w:r w:rsidRPr="00555834">
        <w:rPr>
          <w:rFonts w:ascii="Times New Roman" w:hAnsi="Times New Roman" w:cs="Times New Roman"/>
          <w:sz w:val="20"/>
          <w:szCs w:val="20"/>
        </w:rPr>
        <w:t>(РЕБЧВ) дозволить забезпечити істотне підвищення продуктивності праці та рентабельності при зменшенні витрат енергії, матеріалів, а отже, і негативного впливу на забруднення довкілля.</w:t>
      </w:r>
    </w:p>
    <w:p w14:paraId="7D7F3AF0" w14:textId="53D8FDCF" w:rsidR="004F2E9B" w:rsidRDefault="009D1E79" w:rsidP="004F2E9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 xml:space="preserve">Промисловість є одним з ключових секторів економіки, які потребують запровадження нових підходів до забезпечення економічного зростання для </w:t>
      </w:r>
      <w:r w:rsidRPr="00555834">
        <w:rPr>
          <w:rFonts w:ascii="Times New Roman" w:hAnsi="Times New Roman" w:cs="Times New Roman"/>
          <w:sz w:val="20"/>
          <w:szCs w:val="20"/>
        </w:rPr>
        <w:lastRenderedPageBreak/>
        <w:t>мінімізації негативного впливу на навколишнє середовище та навантаження на базу природних ресурсів.</w:t>
      </w:r>
    </w:p>
    <w:p w14:paraId="35841DE0" w14:textId="7091738F"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Загалом промисловість споживає сьогодні третину світового споживання енергоресурсів та здійснює близько 40% емісій вуглецю.</w:t>
      </w:r>
    </w:p>
    <w:p w14:paraId="0DF24AEF" w14:textId="77CCD163" w:rsidR="009D1E79" w:rsidRPr="00555834" w:rsidRDefault="009D1E79" w:rsidP="004F2E9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b/>
          <w:sz w:val="20"/>
          <w:szCs w:val="20"/>
        </w:rPr>
        <w:t>концепція</w:t>
      </w:r>
      <w:r w:rsidR="004F2E9B">
        <w:rPr>
          <w:rFonts w:ascii="Times New Roman" w:hAnsi="Times New Roman" w:cs="Times New Roman"/>
          <w:b/>
          <w:sz w:val="20"/>
          <w:szCs w:val="20"/>
        </w:rPr>
        <w:t xml:space="preserve"> </w:t>
      </w:r>
      <w:r w:rsidRPr="00555834">
        <w:rPr>
          <w:rFonts w:ascii="Times New Roman" w:hAnsi="Times New Roman" w:cs="Times New Roman"/>
          <w:b/>
          <w:sz w:val="20"/>
          <w:szCs w:val="20"/>
        </w:rPr>
        <w:t>«зеленої</w:t>
      </w:r>
      <w:r w:rsidR="004F2E9B">
        <w:rPr>
          <w:rFonts w:ascii="Times New Roman" w:hAnsi="Times New Roman" w:cs="Times New Roman"/>
          <w:b/>
          <w:sz w:val="20"/>
          <w:szCs w:val="20"/>
        </w:rPr>
        <w:t xml:space="preserve"> </w:t>
      </w:r>
      <w:r w:rsidRPr="00555834">
        <w:rPr>
          <w:rFonts w:ascii="Times New Roman" w:hAnsi="Times New Roman" w:cs="Times New Roman"/>
          <w:b/>
          <w:sz w:val="20"/>
          <w:szCs w:val="20"/>
        </w:rPr>
        <w:t>промисловості»</w:t>
      </w:r>
      <w:r w:rsidRPr="00555834">
        <w:rPr>
          <w:rFonts w:ascii="Times New Roman" w:hAnsi="Times New Roman" w:cs="Times New Roman"/>
          <w:sz w:val="20"/>
          <w:szCs w:val="20"/>
        </w:rPr>
        <w:t>,</w:t>
      </w:r>
      <w:r w:rsidR="004F2E9B">
        <w:rPr>
          <w:rFonts w:ascii="Times New Roman" w:hAnsi="Times New Roman" w:cs="Times New Roman"/>
          <w:sz w:val="20"/>
          <w:szCs w:val="20"/>
        </w:rPr>
        <w:t xml:space="preserve"> </w:t>
      </w:r>
      <w:r w:rsidRPr="00555834">
        <w:rPr>
          <w:rFonts w:ascii="Times New Roman" w:hAnsi="Times New Roman" w:cs="Times New Roman"/>
          <w:sz w:val="20"/>
          <w:szCs w:val="20"/>
        </w:rPr>
        <w:t>запроваджена</w:t>
      </w:r>
      <w:r w:rsidR="004F2E9B">
        <w:rPr>
          <w:rFonts w:ascii="Times New Roman" w:hAnsi="Times New Roman" w:cs="Times New Roman"/>
          <w:sz w:val="20"/>
          <w:szCs w:val="20"/>
        </w:rPr>
        <w:t xml:space="preserve"> </w:t>
      </w:r>
      <w:r w:rsidRPr="00555834">
        <w:rPr>
          <w:rFonts w:ascii="Times New Roman" w:hAnsi="Times New Roman" w:cs="Times New Roman"/>
          <w:sz w:val="20"/>
          <w:szCs w:val="20"/>
        </w:rPr>
        <w:t>Організацією ООН з промислового розвитку (ЮНІДО), визначає розбудову зеленої промисловості як секторальну стратегію, спрямовану на забезпечення безперервного зростання випуску продукції та надання послуг за одночасної мінімізації темпів споживання матеріалів та енергії. Політика</w:t>
      </w:r>
      <w:r w:rsidR="009C2BC3">
        <w:rPr>
          <w:rFonts w:ascii="Times New Roman" w:hAnsi="Times New Roman" w:cs="Times New Roman"/>
          <w:sz w:val="20"/>
          <w:szCs w:val="20"/>
        </w:rPr>
        <w:t xml:space="preserve">   </w:t>
      </w:r>
      <w:r w:rsidRPr="00555834">
        <w:rPr>
          <w:rFonts w:ascii="Times New Roman" w:hAnsi="Times New Roman" w:cs="Times New Roman"/>
          <w:sz w:val="20"/>
          <w:szCs w:val="20"/>
        </w:rPr>
        <w:t>«озеленення»</w:t>
      </w:r>
      <w:r w:rsidR="009C2BC3">
        <w:rPr>
          <w:rFonts w:ascii="Times New Roman" w:hAnsi="Times New Roman" w:cs="Times New Roman"/>
          <w:sz w:val="20"/>
          <w:szCs w:val="20"/>
        </w:rPr>
        <w:t xml:space="preserve"> </w:t>
      </w:r>
      <w:r w:rsidRPr="00555834">
        <w:rPr>
          <w:rFonts w:ascii="Times New Roman" w:hAnsi="Times New Roman" w:cs="Times New Roman"/>
          <w:sz w:val="20"/>
          <w:szCs w:val="20"/>
        </w:rPr>
        <w:t xml:space="preserve"> (екологізації) промисловості охоплює не тільки галузі обробної промисловості, а й агробізнес, перероблення відходів, енергетику тощо. Об’єктом «зеленої» промисловості є вторинні</w:t>
      </w:r>
      <w:r w:rsidR="009C2BC3">
        <w:rPr>
          <w:rFonts w:ascii="Times New Roman" w:hAnsi="Times New Roman" w:cs="Times New Roman"/>
          <w:sz w:val="20"/>
          <w:szCs w:val="20"/>
        </w:rPr>
        <w:t xml:space="preserve">  </w:t>
      </w:r>
      <w:r w:rsidRPr="00555834">
        <w:rPr>
          <w:rFonts w:ascii="Times New Roman" w:hAnsi="Times New Roman" w:cs="Times New Roman"/>
          <w:sz w:val="20"/>
          <w:szCs w:val="20"/>
        </w:rPr>
        <w:t>(перероблення</w:t>
      </w:r>
      <w:r w:rsidR="009C2BC3">
        <w:rPr>
          <w:rFonts w:ascii="Times New Roman" w:hAnsi="Times New Roman" w:cs="Times New Roman"/>
          <w:sz w:val="20"/>
          <w:szCs w:val="20"/>
        </w:rPr>
        <w:t xml:space="preserve">  </w:t>
      </w:r>
      <w:r w:rsidRPr="00555834">
        <w:rPr>
          <w:rFonts w:ascii="Times New Roman" w:hAnsi="Times New Roman" w:cs="Times New Roman"/>
          <w:sz w:val="20"/>
          <w:szCs w:val="20"/>
        </w:rPr>
        <w:t>сировинних матеріалів, обробна промисловість) та третинні (надання послуг з очищення, консультування, дизайну, досліджень, створення програмного забезпечення, тощо) види діяльності. Тобто метою та результатом такої діяльності є створення доданої вартості шляхом упровадження більш наукоємних процесів,</w:t>
      </w:r>
      <w:r w:rsidR="004F2E9B">
        <w:rPr>
          <w:rFonts w:ascii="Times New Roman" w:hAnsi="Times New Roman" w:cs="Times New Roman"/>
          <w:sz w:val="20"/>
          <w:szCs w:val="20"/>
        </w:rPr>
        <w:t xml:space="preserve"> </w:t>
      </w:r>
      <w:r w:rsidRPr="00555834">
        <w:rPr>
          <w:rFonts w:ascii="Times New Roman" w:hAnsi="Times New Roman" w:cs="Times New Roman"/>
          <w:sz w:val="20"/>
          <w:szCs w:val="20"/>
        </w:rPr>
        <w:t>технік, технологій.</w:t>
      </w:r>
    </w:p>
    <w:p w14:paraId="233172BD" w14:textId="5472FB92"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Пропонується</w:t>
      </w:r>
      <w:r w:rsidR="00D878C2" w:rsidRPr="00555834">
        <w:rPr>
          <w:rFonts w:ascii="Times New Roman" w:hAnsi="Times New Roman" w:cs="Times New Roman"/>
          <w:sz w:val="20"/>
          <w:szCs w:val="20"/>
        </w:rPr>
        <w:t xml:space="preserve"> </w:t>
      </w:r>
      <w:r w:rsidRPr="00555834">
        <w:rPr>
          <w:rFonts w:ascii="Times New Roman" w:hAnsi="Times New Roman" w:cs="Times New Roman"/>
          <w:sz w:val="20"/>
          <w:szCs w:val="20"/>
        </w:rPr>
        <w:t>потрійна</w:t>
      </w:r>
      <w:r w:rsidR="00D878C2" w:rsidRPr="00555834">
        <w:rPr>
          <w:rFonts w:ascii="Times New Roman" w:hAnsi="Times New Roman" w:cs="Times New Roman"/>
          <w:sz w:val="20"/>
          <w:szCs w:val="20"/>
        </w:rPr>
        <w:t xml:space="preserve"> </w:t>
      </w:r>
      <w:r w:rsidRPr="00555834">
        <w:rPr>
          <w:rFonts w:ascii="Times New Roman" w:hAnsi="Times New Roman" w:cs="Times New Roman"/>
          <w:b/>
          <w:sz w:val="20"/>
          <w:szCs w:val="20"/>
        </w:rPr>
        <w:t>стратегія екологізації промисловості</w:t>
      </w:r>
      <w:r w:rsidRPr="00555834">
        <w:rPr>
          <w:rFonts w:ascii="Times New Roman" w:hAnsi="Times New Roman" w:cs="Times New Roman"/>
          <w:sz w:val="20"/>
          <w:szCs w:val="20"/>
        </w:rPr>
        <w:t>:</w:t>
      </w:r>
    </w:p>
    <w:p w14:paraId="3B0B942D" w14:textId="77777777" w:rsidR="009D1E79" w:rsidRPr="00555834" w:rsidRDefault="009D1E79" w:rsidP="00030A38">
      <w:pPr>
        <w:numPr>
          <w:ilvl w:val="0"/>
          <w:numId w:val="34"/>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скорочення споживання сировини у виробничих процесах;</w:t>
      </w:r>
    </w:p>
    <w:p w14:paraId="4640622E" w14:textId="15CF80A6" w:rsidR="009D1E79" w:rsidRPr="00555834" w:rsidRDefault="009D1E79" w:rsidP="00030A38">
      <w:pPr>
        <w:numPr>
          <w:ilvl w:val="0"/>
          <w:numId w:val="34"/>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перехід на використання відновлювальних джерел енергії та матеріалів;</w:t>
      </w:r>
    </w:p>
    <w:p w14:paraId="2F0364C4" w14:textId="0789C173" w:rsidR="009D1E79" w:rsidRPr="00555834" w:rsidRDefault="009D1E79" w:rsidP="00030A38">
      <w:pPr>
        <w:numPr>
          <w:ilvl w:val="0"/>
          <w:numId w:val="34"/>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перехід на випуск продукції з меншою ресурсо</w:t>
      </w:r>
      <w:r w:rsidR="00732FA2">
        <w:rPr>
          <w:rFonts w:ascii="Times New Roman" w:hAnsi="Times New Roman" w:cs="Times New Roman"/>
          <w:sz w:val="20"/>
          <w:szCs w:val="20"/>
        </w:rPr>
        <w:t xml:space="preserve"> </w:t>
      </w:r>
      <w:r w:rsidRPr="00555834">
        <w:rPr>
          <w:rFonts w:ascii="Times New Roman" w:hAnsi="Times New Roman" w:cs="Times New Roman"/>
          <w:sz w:val="20"/>
          <w:szCs w:val="20"/>
        </w:rPr>
        <w:t>та енергоємністю.</w:t>
      </w:r>
    </w:p>
    <w:p w14:paraId="303D75D1" w14:textId="46860529"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 xml:space="preserve">Фундаментальний крок до запуску </w:t>
      </w:r>
      <w:r w:rsidRPr="00555834">
        <w:rPr>
          <w:rFonts w:ascii="Times New Roman" w:hAnsi="Times New Roman" w:cs="Times New Roman"/>
          <w:b/>
          <w:sz w:val="20"/>
          <w:szCs w:val="20"/>
        </w:rPr>
        <w:t>ініціативи «зеленої» індустрії</w:t>
      </w:r>
      <w:r w:rsidRPr="00555834">
        <w:rPr>
          <w:rFonts w:ascii="Times New Roman" w:hAnsi="Times New Roman" w:cs="Times New Roman"/>
          <w:sz w:val="20"/>
          <w:szCs w:val="20"/>
        </w:rPr>
        <w:t>, що базується, у тому числі, і на інструментарії РЕБЧВ, зроблено ЮНІДО у вересні 2009 року на Міжнародній конференції із «зеленої» індустрії на Філіппінах (м. Маніла). Манільська декларація та Рамкова програма дій, прийняті 21 країною Азії, визначають напрями дії для зменшення інтенсивності використання ресурсів та емісії двоокису вуглецю в індустрії, надають механізм періодичної оцінки прогресу в цих напрямах .</w:t>
      </w:r>
    </w:p>
    <w:p w14:paraId="40DD98C2" w14:textId="1E80D0EF"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Пропоновані заходи та механізми передбачають включення до національних планів економічного розвитку</w:t>
      </w:r>
    </w:p>
    <w:p w14:paraId="233975F6" w14:textId="4ACEFD44" w:rsidR="009D1E79" w:rsidRPr="00555834" w:rsidRDefault="009D1E79" w:rsidP="004F2E9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заходів із стимулювання більш чистого виробництва, створення бізнес-середовища, сприятливого для інвестування в «зелені» галузі, а також програм досліджень з розвитку еко-технологій та їх упровадження. Розвиваючи положення Манільської декларації та Рамкового плану дій, ЮНІДО здійснює розроблення керівних принципів «зеленої» індустрії як базових для підготовки країнами Азії відповідних національних стратегій і планів розвитку. Досвід країн Південно</w:t>
      </w:r>
      <w:r w:rsidR="00732FA2">
        <w:rPr>
          <w:rFonts w:ascii="Times New Roman" w:hAnsi="Times New Roman" w:cs="Times New Roman"/>
          <w:sz w:val="20"/>
          <w:szCs w:val="20"/>
        </w:rPr>
        <w:t>-</w:t>
      </w:r>
      <w:r w:rsidRPr="00555834">
        <w:rPr>
          <w:rFonts w:ascii="Times New Roman" w:hAnsi="Times New Roman" w:cs="Times New Roman"/>
          <w:sz w:val="20"/>
          <w:szCs w:val="20"/>
        </w:rPr>
        <w:t>Східної Азії, бідних на природні ресурси, але з надзвичайно працездатним населенням, є, безумовно, дуже корисним для України у сфері залучення нових,</w:t>
      </w:r>
      <w:r w:rsidR="004F2E9B">
        <w:rPr>
          <w:rFonts w:ascii="Times New Roman" w:hAnsi="Times New Roman" w:cs="Times New Roman"/>
          <w:sz w:val="20"/>
          <w:szCs w:val="20"/>
        </w:rPr>
        <w:t xml:space="preserve"> </w:t>
      </w:r>
      <w:r w:rsidRPr="00555834">
        <w:rPr>
          <w:rFonts w:ascii="Times New Roman" w:hAnsi="Times New Roman" w:cs="Times New Roman"/>
          <w:sz w:val="20"/>
          <w:szCs w:val="20"/>
        </w:rPr>
        <w:t>«зелених» джерел зростання.</w:t>
      </w:r>
    </w:p>
    <w:p w14:paraId="6E6F154A" w14:textId="3D281414"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 xml:space="preserve">Наступні дії включають формування необхідної нормативної бази, підготовку звітів про екологічну ефективність кожної країни (зокрема, використання води, сировини та енергії в різних секторах економіки) і </w:t>
      </w:r>
      <w:r w:rsidRPr="00555834">
        <w:rPr>
          <w:rFonts w:ascii="Times New Roman" w:hAnsi="Times New Roman" w:cs="Times New Roman"/>
          <w:sz w:val="20"/>
          <w:szCs w:val="20"/>
        </w:rPr>
        <w:lastRenderedPageBreak/>
        <w:t>загальну оцінку ситуації в країнах Азії, а далі – розроблення країнами національних стратегій «зеленої» індустрії.</w:t>
      </w:r>
    </w:p>
    <w:p w14:paraId="36909731" w14:textId="4E7E666C"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 xml:space="preserve">Передбачається, що політика </w:t>
      </w:r>
      <w:r w:rsidRPr="00555834">
        <w:rPr>
          <w:rFonts w:ascii="Times New Roman" w:hAnsi="Times New Roman" w:cs="Times New Roman"/>
          <w:b/>
          <w:sz w:val="20"/>
          <w:szCs w:val="20"/>
        </w:rPr>
        <w:t xml:space="preserve">«озеленення» промисловості </w:t>
      </w:r>
      <w:r w:rsidRPr="00555834">
        <w:rPr>
          <w:rFonts w:ascii="Times New Roman" w:hAnsi="Times New Roman" w:cs="Times New Roman"/>
          <w:sz w:val="20"/>
          <w:szCs w:val="20"/>
        </w:rPr>
        <w:t>буде охоплювати п'ять складників: інтегровані рамки, створення сприятливого середовища, галузеві ініціативи, екологічні технології, узгодження інструментів політики.</w:t>
      </w:r>
    </w:p>
    <w:p w14:paraId="64050E70" w14:textId="77777777"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b/>
          <w:sz w:val="20"/>
          <w:szCs w:val="20"/>
        </w:rPr>
        <w:t xml:space="preserve">інтегровані рамки політики </w:t>
      </w:r>
      <w:r w:rsidRPr="00555834">
        <w:rPr>
          <w:rFonts w:ascii="Times New Roman" w:hAnsi="Times New Roman" w:cs="Times New Roman"/>
          <w:sz w:val="20"/>
          <w:szCs w:val="20"/>
        </w:rPr>
        <w:t>передбачають формулювання завдань у національних стратегіях розвитку або у стратегіях подолання бідності, інших стратегіях, у тому числі секторальних стратегіях. Для координації доцільним є створення міжвідомчих форумів або міністерських комітетів.</w:t>
      </w:r>
    </w:p>
    <w:p w14:paraId="3107BE26" w14:textId="18908D3C" w:rsidR="009D1E79" w:rsidRPr="00555834" w:rsidRDefault="009D1E79" w:rsidP="0012192B">
      <w:pPr>
        <w:adjustRightInd w:val="0"/>
        <w:snapToGrid w:val="0"/>
        <w:spacing w:after="0" w:line="240" w:lineRule="auto"/>
        <w:ind w:firstLine="567"/>
        <w:jc w:val="both"/>
        <w:rPr>
          <w:rFonts w:ascii="Times New Roman" w:hAnsi="Times New Roman" w:cs="Times New Roman"/>
          <w:b/>
          <w:bCs/>
          <w:sz w:val="20"/>
          <w:szCs w:val="20"/>
        </w:rPr>
      </w:pPr>
      <w:r w:rsidRPr="00555834">
        <w:rPr>
          <w:rFonts w:ascii="Times New Roman" w:hAnsi="Times New Roman" w:cs="Times New Roman"/>
          <w:b/>
          <w:bCs/>
          <w:sz w:val="20"/>
          <w:szCs w:val="20"/>
        </w:rPr>
        <w:t>Створення сприятливого середовища передбачає:</w:t>
      </w:r>
    </w:p>
    <w:p w14:paraId="11167B05" w14:textId="622C2B14" w:rsidR="009D1E79" w:rsidRPr="00555834" w:rsidRDefault="009D1E79" w:rsidP="00030A38">
      <w:pPr>
        <w:numPr>
          <w:ilvl w:val="0"/>
          <w:numId w:val="33"/>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Надання доступу до фінансування за рахунок позик, грантів, посівних фондів.</w:t>
      </w:r>
    </w:p>
    <w:p w14:paraId="267A1FAC" w14:textId="77777777" w:rsidR="009D1E79" w:rsidRPr="00555834" w:rsidRDefault="009D1E79" w:rsidP="00030A38">
      <w:pPr>
        <w:numPr>
          <w:ilvl w:val="0"/>
          <w:numId w:val="33"/>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Відмову від субсидій на викопне паливо, що обертаються збитками для довкілля.</w:t>
      </w:r>
    </w:p>
    <w:p w14:paraId="219BA2B7" w14:textId="74ED98D3" w:rsidR="009D1E79" w:rsidRPr="00555834" w:rsidRDefault="009D1E79" w:rsidP="00030A38">
      <w:pPr>
        <w:numPr>
          <w:ilvl w:val="0"/>
          <w:numId w:val="33"/>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Підтримання попиту на «зелені» технології, продукцію та послуги через державні закупівлі,</w:t>
      </w:r>
      <w:r w:rsidR="004F2E9B">
        <w:rPr>
          <w:rFonts w:ascii="Times New Roman" w:hAnsi="Times New Roman" w:cs="Times New Roman"/>
          <w:sz w:val="20"/>
          <w:szCs w:val="20"/>
        </w:rPr>
        <w:t xml:space="preserve"> </w:t>
      </w:r>
      <w:r w:rsidRPr="00555834">
        <w:rPr>
          <w:rFonts w:ascii="Times New Roman" w:hAnsi="Times New Roman" w:cs="Times New Roman"/>
          <w:sz w:val="20"/>
          <w:szCs w:val="20"/>
        </w:rPr>
        <w:t>міжнародне співробітництво та торгівлю, інвестиційну політику.</w:t>
      </w:r>
    </w:p>
    <w:p w14:paraId="6ABE0C29" w14:textId="537D830B" w:rsidR="009D1E79" w:rsidRPr="00555834" w:rsidRDefault="009D1E79" w:rsidP="00030A38">
      <w:pPr>
        <w:numPr>
          <w:ilvl w:val="1"/>
          <w:numId w:val="33"/>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Створення еко-ефективної інфраструктури (енергетичної, міської, управління водними ресурсами, відходами, тощо).</w:t>
      </w:r>
    </w:p>
    <w:p w14:paraId="17E57E41" w14:textId="77777777" w:rsidR="009D1E79" w:rsidRPr="00555834" w:rsidRDefault="009D1E79" w:rsidP="00030A38">
      <w:pPr>
        <w:numPr>
          <w:ilvl w:val="1"/>
          <w:numId w:val="33"/>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Підвищення рівня компетенції суспільства через навчальні плани і програми.</w:t>
      </w:r>
    </w:p>
    <w:p w14:paraId="5A2932AB" w14:textId="77777777" w:rsidR="009D1E79" w:rsidRPr="00555834" w:rsidRDefault="009D1E79" w:rsidP="0012192B">
      <w:pPr>
        <w:adjustRightInd w:val="0"/>
        <w:snapToGrid w:val="0"/>
        <w:spacing w:after="0" w:line="240" w:lineRule="auto"/>
        <w:ind w:firstLine="567"/>
        <w:jc w:val="both"/>
        <w:rPr>
          <w:rFonts w:ascii="Times New Roman" w:hAnsi="Times New Roman" w:cs="Times New Roman"/>
          <w:b/>
          <w:bCs/>
          <w:sz w:val="20"/>
          <w:szCs w:val="20"/>
        </w:rPr>
      </w:pPr>
      <w:r w:rsidRPr="00555834">
        <w:rPr>
          <w:rFonts w:ascii="Times New Roman" w:hAnsi="Times New Roman" w:cs="Times New Roman"/>
          <w:b/>
          <w:bCs/>
          <w:sz w:val="20"/>
          <w:szCs w:val="20"/>
        </w:rPr>
        <w:t>галузеві ініціативи включають:</w:t>
      </w:r>
    </w:p>
    <w:p w14:paraId="7989A6A8" w14:textId="1119229A" w:rsidR="009D1E79" w:rsidRPr="00555834" w:rsidRDefault="009D1E79" w:rsidP="00030A38">
      <w:pPr>
        <w:numPr>
          <w:ilvl w:val="1"/>
          <w:numId w:val="33"/>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засоби підтримки екологізації виробництва: підвищення поінформованості та нарощення потенціалу (зокрема, створення центрів більш чистого виробництва);</w:t>
      </w:r>
    </w:p>
    <w:p w14:paraId="30CB6162" w14:textId="0C512D1D" w:rsidR="009D1E79" w:rsidRPr="00555834" w:rsidRDefault="009D1E79" w:rsidP="00030A38">
      <w:pPr>
        <w:numPr>
          <w:ilvl w:val="1"/>
          <w:numId w:val="33"/>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просування систем екологічного менеджменту промисловості на основі стандартів; упровадження еко-маркування і сертифікації продукції;</w:t>
      </w:r>
    </w:p>
    <w:p w14:paraId="0563CB3D" w14:textId="77777777" w:rsidR="009D1E79" w:rsidRPr="00555834" w:rsidRDefault="009D1E79" w:rsidP="00030A38">
      <w:pPr>
        <w:numPr>
          <w:ilvl w:val="1"/>
          <w:numId w:val="33"/>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екологізацію всього життєвого циклу продукції, включаючи ланцюг постачання;</w:t>
      </w:r>
    </w:p>
    <w:p w14:paraId="6078A672" w14:textId="77777777" w:rsidR="009D1E79" w:rsidRPr="00555834" w:rsidRDefault="009D1E79" w:rsidP="00030A38">
      <w:pPr>
        <w:numPr>
          <w:ilvl w:val="1"/>
          <w:numId w:val="33"/>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створення партнерства уряду з бізнесом для покращення довкілля;</w:t>
      </w:r>
    </w:p>
    <w:p w14:paraId="0F96419A" w14:textId="309FCDC0" w:rsidR="009D1E79" w:rsidRPr="00555834" w:rsidRDefault="009D1E79" w:rsidP="00030A38">
      <w:pPr>
        <w:numPr>
          <w:ilvl w:val="1"/>
          <w:numId w:val="33"/>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підвищення</w:t>
      </w:r>
      <w:r w:rsidR="009C2BC3">
        <w:rPr>
          <w:rFonts w:ascii="Times New Roman" w:hAnsi="Times New Roman" w:cs="Times New Roman"/>
          <w:sz w:val="20"/>
          <w:szCs w:val="20"/>
        </w:rPr>
        <w:t xml:space="preserve"> </w:t>
      </w:r>
      <w:r w:rsidRPr="00555834">
        <w:rPr>
          <w:rFonts w:ascii="Times New Roman" w:hAnsi="Times New Roman" w:cs="Times New Roman"/>
          <w:sz w:val="20"/>
          <w:szCs w:val="20"/>
        </w:rPr>
        <w:t>відповідальності виробників та сприяння корпоративній екологічній відповідальності.</w:t>
      </w:r>
    </w:p>
    <w:p w14:paraId="125F70CA" w14:textId="213C69BC"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b/>
          <w:sz w:val="20"/>
          <w:szCs w:val="20"/>
        </w:rPr>
        <w:t xml:space="preserve">Використання екологічних технологій </w:t>
      </w:r>
      <w:r w:rsidRPr="00555834">
        <w:rPr>
          <w:rFonts w:ascii="Times New Roman" w:hAnsi="Times New Roman" w:cs="Times New Roman"/>
          <w:sz w:val="20"/>
          <w:szCs w:val="20"/>
        </w:rPr>
        <w:t>поширюється шляхом:</w:t>
      </w:r>
    </w:p>
    <w:p w14:paraId="72769F91" w14:textId="77777777" w:rsidR="009D1E79" w:rsidRPr="00555834" w:rsidRDefault="009D1E79" w:rsidP="00030A38">
      <w:pPr>
        <w:numPr>
          <w:ilvl w:val="1"/>
          <w:numId w:val="33"/>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розвитку технічного потенціалу підприємств через зміцнення зв'язків з науково-дослідними установами, освітою;</w:t>
      </w:r>
    </w:p>
    <w:p w14:paraId="68A09B73" w14:textId="24C52319" w:rsidR="001A255C" w:rsidRPr="00A6446B" w:rsidRDefault="009D1E79" w:rsidP="00A6446B">
      <w:pPr>
        <w:numPr>
          <w:ilvl w:val="1"/>
          <w:numId w:val="33"/>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розбудови технологічної бази через стратегічні програми з досліджень</w:t>
      </w:r>
    </w:p>
    <w:p w14:paraId="2DB24351" w14:textId="74787F11"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і розвитку, технологічні платформи, програми спільного фінансування;</w:t>
      </w:r>
    </w:p>
    <w:p w14:paraId="2ACD4E7F" w14:textId="77777777" w:rsidR="009D1E79" w:rsidRPr="00555834" w:rsidRDefault="009D1E79" w:rsidP="00030A38">
      <w:pPr>
        <w:numPr>
          <w:ilvl w:val="0"/>
          <w:numId w:val="33"/>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фінансування розвитку чистих технологій з використанням грантів, посівних фондів, податкових канікул, венчурного капіталу тощо;</w:t>
      </w:r>
    </w:p>
    <w:p w14:paraId="21493056" w14:textId="14642258" w:rsidR="009D1E79" w:rsidRPr="00555834" w:rsidRDefault="009D1E79" w:rsidP="00030A38">
      <w:pPr>
        <w:numPr>
          <w:ilvl w:val="0"/>
          <w:numId w:val="33"/>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 xml:space="preserve">сприяння трансферу технологій та ефективній передачі знань через утворення наукових партнерств, спільних підприємств, кластерів, інкубаторів, </w:t>
      </w:r>
      <w:r w:rsidRPr="00555834">
        <w:rPr>
          <w:rFonts w:ascii="Times New Roman" w:hAnsi="Times New Roman" w:cs="Times New Roman"/>
          <w:sz w:val="20"/>
          <w:szCs w:val="20"/>
        </w:rPr>
        <w:lastRenderedPageBreak/>
        <w:t>наукових парків, глобальних і регіональних мереж, інших об’єктів інфраструктури.</w:t>
      </w:r>
    </w:p>
    <w:p w14:paraId="0FD010B0" w14:textId="6086496E" w:rsidR="009D1E79" w:rsidRPr="00555834" w:rsidRDefault="009D1E79" w:rsidP="0012192B">
      <w:pPr>
        <w:adjustRightInd w:val="0"/>
        <w:snapToGrid w:val="0"/>
        <w:spacing w:after="0" w:line="240" w:lineRule="auto"/>
        <w:ind w:firstLine="567"/>
        <w:jc w:val="both"/>
        <w:rPr>
          <w:rFonts w:ascii="Times New Roman" w:hAnsi="Times New Roman" w:cs="Times New Roman"/>
          <w:bCs/>
          <w:sz w:val="20"/>
          <w:szCs w:val="20"/>
        </w:rPr>
      </w:pPr>
      <w:r w:rsidRPr="00555834">
        <w:rPr>
          <w:rFonts w:ascii="Times New Roman" w:hAnsi="Times New Roman" w:cs="Times New Roman"/>
          <w:bCs/>
          <w:sz w:val="20"/>
          <w:szCs w:val="20"/>
        </w:rPr>
        <w:t xml:space="preserve">Змішані </w:t>
      </w:r>
      <w:r w:rsidRPr="00555834">
        <w:rPr>
          <w:rFonts w:ascii="Times New Roman" w:hAnsi="Times New Roman" w:cs="Times New Roman"/>
          <w:b/>
          <w:bCs/>
          <w:sz w:val="20"/>
          <w:szCs w:val="20"/>
        </w:rPr>
        <w:t>інструменти для сприяння екологізації промисловості включають</w:t>
      </w:r>
      <w:r w:rsidRPr="00555834">
        <w:rPr>
          <w:rFonts w:ascii="Times New Roman" w:hAnsi="Times New Roman" w:cs="Times New Roman"/>
          <w:bCs/>
          <w:sz w:val="20"/>
          <w:szCs w:val="20"/>
        </w:rPr>
        <w:t>:</w:t>
      </w:r>
    </w:p>
    <w:p w14:paraId="3C1CE151" w14:textId="37D6D823" w:rsidR="009D1E79" w:rsidRPr="00555834" w:rsidRDefault="009D1E79" w:rsidP="00030A38">
      <w:pPr>
        <w:numPr>
          <w:ilvl w:val="0"/>
          <w:numId w:val="33"/>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Екологічні податки і збори, екологічно</w:t>
      </w:r>
      <w:r w:rsidR="009C2BC3">
        <w:rPr>
          <w:rFonts w:ascii="Times New Roman" w:hAnsi="Times New Roman" w:cs="Times New Roman"/>
          <w:sz w:val="20"/>
          <w:szCs w:val="20"/>
        </w:rPr>
        <w:t xml:space="preserve"> </w:t>
      </w:r>
      <w:r w:rsidRPr="00555834">
        <w:rPr>
          <w:rFonts w:ascii="Times New Roman" w:hAnsi="Times New Roman" w:cs="Times New Roman"/>
          <w:sz w:val="20"/>
          <w:szCs w:val="20"/>
        </w:rPr>
        <w:t>мотивовані</w:t>
      </w:r>
      <w:r w:rsidR="009C2BC3">
        <w:rPr>
          <w:rFonts w:ascii="Times New Roman" w:hAnsi="Times New Roman" w:cs="Times New Roman"/>
          <w:sz w:val="20"/>
          <w:szCs w:val="20"/>
        </w:rPr>
        <w:t xml:space="preserve"> </w:t>
      </w:r>
      <w:r w:rsidRPr="00555834">
        <w:rPr>
          <w:rFonts w:ascii="Times New Roman" w:hAnsi="Times New Roman" w:cs="Times New Roman"/>
          <w:sz w:val="20"/>
          <w:szCs w:val="20"/>
        </w:rPr>
        <w:t>субсидії, ціноутворення.</w:t>
      </w:r>
    </w:p>
    <w:p w14:paraId="3AFCAECD" w14:textId="1ABBFB65" w:rsidR="009D1E79" w:rsidRPr="00555834" w:rsidRDefault="009D1E79" w:rsidP="00030A38">
      <w:pPr>
        <w:numPr>
          <w:ilvl w:val="0"/>
          <w:numId w:val="33"/>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Торговельні дозволи, компенсаційні схеми.</w:t>
      </w:r>
    </w:p>
    <w:p w14:paraId="0ACAC82A" w14:textId="77777777" w:rsidR="009D1E79" w:rsidRPr="00555834" w:rsidRDefault="009D1E79" w:rsidP="00030A38">
      <w:pPr>
        <w:numPr>
          <w:ilvl w:val="0"/>
          <w:numId w:val="33"/>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Ефективне нормативно-правове регулювання.</w:t>
      </w:r>
    </w:p>
    <w:p w14:paraId="206DB6FF" w14:textId="39CED2E7" w:rsidR="009D1E79" w:rsidRPr="00555834" w:rsidRDefault="009D1E79" w:rsidP="00030A38">
      <w:pPr>
        <w:numPr>
          <w:ilvl w:val="0"/>
          <w:numId w:val="33"/>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Упровадження</w:t>
      </w:r>
      <w:r w:rsidR="009C2BC3">
        <w:rPr>
          <w:rFonts w:ascii="Times New Roman" w:hAnsi="Times New Roman" w:cs="Times New Roman"/>
          <w:sz w:val="20"/>
          <w:szCs w:val="20"/>
        </w:rPr>
        <w:t xml:space="preserve"> </w:t>
      </w:r>
      <w:r w:rsidRPr="00555834">
        <w:rPr>
          <w:rFonts w:ascii="Times New Roman" w:hAnsi="Times New Roman" w:cs="Times New Roman"/>
          <w:sz w:val="20"/>
          <w:szCs w:val="20"/>
        </w:rPr>
        <w:t>стандартів, заборони на небезпечні речовини та продукцію.</w:t>
      </w:r>
    </w:p>
    <w:p w14:paraId="2C120FE8" w14:textId="77777777" w:rsidR="009D1E79" w:rsidRPr="00555834" w:rsidRDefault="009D1E79" w:rsidP="00030A38">
      <w:pPr>
        <w:numPr>
          <w:ilvl w:val="0"/>
          <w:numId w:val="33"/>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Добровільні угоди. Заохочення до дотримання та забезпечення режимів.</w:t>
      </w:r>
    </w:p>
    <w:p w14:paraId="4BF904C2" w14:textId="25759F45" w:rsidR="009D1E79" w:rsidRPr="00555834" w:rsidRDefault="009D1E79" w:rsidP="00030A38">
      <w:pPr>
        <w:numPr>
          <w:ilvl w:val="0"/>
          <w:numId w:val="33"/>
        </w:numPr>
        <w:adjustRightInd w:val="0"/>
        <w:snapToGrid w:val="0"/>
        <w:spacing w:after="0" w:line="240" w:lineRule="auto"/>
        <w:ind w:left="0" w:firstLine="567"/>
        <w:jc w:val="both"/>
        <w:rPr>
          <w:rFonts w:ascii="Times New Roman" w:hAnsi="Times New Roman" w:cs="Times New Roman"/>
          <w:sz w:val="20"/>
          <w:szCs w:val="20"/>
        </w:rPr>
      </w:pPr>
      <w:r w:rsidRPr="00555834">
        <w:rPr>
          <w:rFonts w:ascii="Times New Roman" w:hAnsi="Times New Roman" w:cs="Times New Roman"/>
          <w:sz w:val="20"/>
          <w:szCs w:val="20"/>
        </w:rPr>
        <w:t>Екологічний моніторинг і звітність. Система екологічних індикаторів для підтримки моніторингу та забезпечення дотримання режиму.</w:t>
      </w:r>
    </w:p>
    <w:p w14:paraId="2B385946" w14:textId="79EFCFE1" w:rsidR="009D1E79" w:rsidRPr="00555834" w:rsidRDefault="009D1E79" w:rsidP="0012192B">
      <w:pPr>
        <w:adjustRightInd w:val="0"/>
        <w:snapToGrid w:val="0"/>
        <w:spacing w:after="0" w:line="240" w:lineRule="auto"/>
        <w:ind w:firstLine="567"/>
        <w:jc w:val="both"/>
        <w:rPr>
          <w:rFonts w:ascii="Times New Roman" w:hAnsi="Times New Roman" w:cs="Times New Roman"/>
          <w:sz w:val="20"/>
          <w:szCs w:val="20"/>
        </w:rPr>
      </w:pPr>
      <w:r w:rsidRPr="00555834">
        <w:rPr>
          <w:rFonts w:ascii="Times New Roman" w:hAnsi="Times New Roman" w:cs="Times New Roman"/>
          <w:sz w:val="20"/>
          <w:szCs w:val="20"/>
        </w:rPr>
        <w:t>Концепція ЮНІДО (рис. 6.1) охоплює зобов'язання та дії, спрямовані на зни</w:t>
      </w:r>
      <w:r w:rsidR="006A3179" w:rsidRPr="004F2E9B">
        <w:rPr>
          <w:rFonts w:ascii="Times New Roman" w:hAnsi="Times New Roman" w:cs="Times New Roman"/>
          <w:sz w:val="20"/>
          <w:szCs w:val="20"/>
        </w:rPr>
        <w:t>ження</w:t>
      </w:r>
    </w:p>
    <w:p w14:paraId="5F559507" w14:textId="63AA445C" w:rsidR="00D878C2" w:rsidRPr="00555834" w:rsidRDefault="0097382E" w:rsidP="0012192B">
      <w:pPr>
        <w:adjustRightInd w:val="0"/>
        <w:snapToGrid w:val="0"/>
        <w:spacing w:after="0" w:line="240" w:lineRule="auto"/>
        <w:ind w:firstLine="567"/>
        <w:jc w:val="both"/>
        <w:rPr>
          <w:rFonts w:ascii="Times New Roman" w:hAnsi="Times New Roman" w:cs="Times New Roman"/>
          <w:sz w:val="20"/>
          <w:szCs w:val="20"/>
        </w:rPr>
      </w:pPr>
      <w:r w:rsidRPr="009D1E79">
        <w:rPr>
          <w:rFonts w:ascii="Times New Roman" w:hAnsi="Times New Roman" w:cs="Times New Roman"/>
          <w:noProof/>
          <w:sz w:val="16"/>
          <w:szCs w:val="16"/>
        </w:rPr>
        <w:drawing>
          <wp:inline distT="0" distB="0" distL="0" distR="0" wp14:anchorId="160D7516" wp14:editId="1D51838B">
            <wp:extent cx="3912951" cy="2105247"/>
            <wp:effectExtent l="0" t="0" r="0" b="9525"/>
            <wp:docPr id="388" name="Image 3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8" name="Image 388"/>
                    <pic:cNvPicPr/>
                  </pic:nvPicPr>
                  <pic:blipFill>
                    <a:blip r:embed="rId11" cstate="print"/>
                    <a:stretch>
                      <a:fillRect/>
                    </a:stretch>
                  </pic:blipFill>
                  <pic:spPr>
                    <a:xfrm>
                      <a:off x="0" y="0"/>
                      <a:ext cx="3918182" cy="2108061"/>
                    </a:xfrm>
                    <a:prstGeom prst="rect">
                      <a:avLst/>
                    </a:prstGeom>
                  </pic:spPr>
                </pic:pic>
              </a:graphicData>
            </a:graphic>
          </wp:inline>
        </w:drawing>
      </w:r>
    </w:p>
    <w:p w14:paraId="73AC7323" w14:textId="0809AA61" w:rsidR="009D1E79" w:rsidRPr="009D1E79" w:rsidRDefault="009D1E79" w:rsidP="0097382E">
      <w:pPr>
        <w:adjustRightInd w:val="0"/>
        <w:snapToGrid w:val="0"/>
        <w:spacing w:after="0" w:line="240" w:lineRule="auto"/>
        <w:jc w:val="both"/>
        <w:rPr>
          <w:rFonts w:ascii="Times New Roman" w:hAnsi="Times New Roman" w:cs="Times New Roman"/>
          <w:sz w:val="16"/>
          <w:szCs w:val="16"/>
        </w:rPr>
      </w:pPr>
    </w:p>
    <w:p w14:paraId="5421CA42" w14:textId="3B256594" w:rsidR="006A0859" w:rsidRPr="002B62B6" w:rsidRDefault="009D1E79" w:rsidP="002B62B6">
      <w:pPr>
        <w:adjustRightInd w:val="0"/>
        <w:snapToGrid w:val="0"/>
        <w:spacing w:after="0" w:line="240" w:lineRule="auto"/>
        <w:ind w:firstLine="567"/>
        <w:jc w:val="both"/>
        <w:rPr>
          <w:rFonts w:ascii="Times New Roman" w:hAnsi="Times New Roman" w:cs="Times New Roman"/>
          <w:b/>
          <w:sz w:val="20"/>
          <w:szCs w:val="20"/>
        </w:rPr>
      </w:pPr>
      <w:r w:rsidRPr="002B62B6">
        <w:rPr>
          <w:rFonts w:ascii="Times New Roman" w:hAnsi="Times New Roman" w:cs="Times New Roman"/>
          <w:b/>
          <w:sz w:val="20"/>
          <w:szCs w:val="20"/>
        </w:rPr>
        <w:t xml:space="preserve">Рис. 6.1. концепція «озеленення» </w:t>
      </w:r>
      <w:r w:rsidR="00662914" w:rsidRPr="002B62B6">
        <w:rPr>
          <w:rFonts w:ascii="Times New Roman" w:hAnsi="Times New Roman" w:cs="Times New Roman"/>
          <w:b/>
          <w:sz w:val="20"/>
          <w:szCs w:val="20"/>
        </w:rPr>
        <w:t xml:space="preserve">ЮНІДО </w:t>
      </w:r>
      <w:r w:rsidRPr="002B62B6">
        <w:rPr>
          <w:rFonts w:ascii="Times New Roman" w:hAnsi="Times New Roman" w:cs="Times New Roman"/>
          <w:b/>
          <w:sz w:val="20"/>
          <w:szCs w:val="20"/>
        </w:rPr>
        <w:t>здоров’я</w:t>
      </w:r>
    </w:p>
    <w:p w14:paraId="005B5F8B" w14:textId="412D230B" w:rsidR="009D1E79" w:rsidRPr="004F2E9B" w:rsidRDefault="009D1E79" w:rsidP="0012192B">
      <w:pPr>
        <w:adjustRightInd w:val="0"/>
        <w:snapToGrid w:val="0"/>
        <w:spacing w:after="0" w:line="240" w:lineRule="auto"/>
        <w:ind w:firstLine="567"/>
        <w:jc w:val="both"/>
        <w:rPr>
          <w:rFonts w:ascii="Times New Roman" w:hAnsi="Times New Roman" w:cs="Times New Roman"/>
          <w:sz w:val="20"/>
          <w:szCs w:val="20"/>
        </w:rPr>
      </w:pPr>
      <w:r w:rsidRPr="004F2E9B">
        <w:rPr>
          <w:rFonts w:ascii="Times New Roman" w:hAnsi="Times New Roman" w:cs="Times New Roman"/>
          <w:sz w:val="20"/>
          <w:szCs w:val="20"/>
        </w:rPr>
        <w:t>впливу процесів і продукції на довкілля за рахунок більш ефективного використання ресурсів, відмови від токсичних речовин, заміни викопних видів палива відновлювальними джерелами енергії, поліпшення безпеки праці, взяття підвищеної відповідальності виробників за деструктивний вплив на довкілля тощо.</w:t>
      </w:r>
    </w:p>
    <w:p w14:paraId="4C6D007B" w14:textId="5C0DC117" w:rsidR="009D1E79" w:rsidRPr="004F2E9B" w:rsidRDefault="009D1E79" w:rsidP="0012192B">
      <w:pPr>
        <w:adjustRightInd w:val="0"/>
        <w:snapToGrid w:val="0"/>
        <w:spacing w:after="0" w:line="240" w:lineRule="auto"/>
        <w:ind w:firstLine="567"/>
        <w:jc w:val="both"/>
        <w:rPr>
          <w:rFonts w:ascii="Times New Roman" w:hAnsi="Times New Roman" w:cs="Times New Roman"/>
          <w:sz w:val="20"/>
          <w:szCs w:val="20"/>
        </w:rPr>
      </w:pPr>
      <w:r w:rsidRPr="004F2E9B">
        <w:rPr>
          <w:rFonts w:ascii="Times New Roman" w:hAnsi="Times New Roman" w:cs="Times New Roman"/>
          <w:b/>
          <w:sz w:val="20"/>
          <w:szCs w:val="20"/>
        </w:rPr>
        <w:t>Метою цієї політики є розмежування динаміки економічного зростання та споживання природних ресурсів й енергії</w:t>
      </w:r>
      <w:r w:rsidRPr="004F2E9B">
        <w:rPr>
          <w:rFonts w:ascii="Times New Roman" w:hAnsi="Times New Roman" w:cs="Times New Roman"/>
          <w:sz w:val="20"/>
          <w:szCs w:val="20"/>
        </w:rPr>
        <w:t>, забезпечення постійного зростання доданої вартості при зменшенні темпів росту відходів, викидів та забруднення довкілля.</w:t>
      </w:r>
    </w:p>
    <w:p w14:paraId="0CB8563D" w14:textId="16B57975" w:rsidR="009D1E79" w:rsidRPr="004F2E9B" w:rsidRDefault="009D1E79" w:rsidP="0012192B">
      <w:pPr>
        <w:adjustRightInd w:val="0"/>
        <w:snapToGrid w:val="0"/>
        <w:spacing w:after="0" w:line="240" w:lineRule="auto"/>
        <w:ind w:firstLine="567"/>
        <w:jc w:val="both"/>
        <w:rPr>
          <w:rFonts w:ascii="Times New Roman" w:hAnsi="Times New Roman" w:cs="Times New Roman"/>
          <w:sz w:val="20"/>
          <w:szCs w:val="20"/>
        </w:rPr>
      </w:pPr>
      <w:r w:rsidRPr="004F2E9B">
        <w:rPr>
          <w:rFonts w:ascii="Times New Roman" w:hAnsi="Times New Roman" w:cs="Times New Roman"/>
          <w:sz w:val="20"/>
          <w:szCs w:val="20"/>
        </w:rPr>
        <w:t xml:space="preserve">Можна констатувати, що головними складниками політики та програм </w:t>
      </w:r>
      <w:r w:rsidRPr="004F2E9B">
        <w:rPr>
          <w:rFonts w:ascii="Times New Roman" w:hAnsi="Times New Roman" w:cs="Times New Roman"/>
          <w:b/>
          <w:sz w:val="20"/>
          <w:szCs w:val="20"/>
        </w:rPr>
        <w:t xml:space="preserve">«озеленення» (екологізації) виробництва </w:t>
      </w:r>
      <w:r w:rsidRPr="004F2E9B">
        <w:rPr>
          <w:rFonts w:ascii="Times New Roman" w:hAnsi="Times New Roman" w:cs="Times New Roman"/>
          <w:sz w:val="20"/>
          <w:szCs w:val="20"/>
        </w:rPr>
        <w:t>є:</w:t>
      </w:r>
    </w:p>
    <w:p w14:paraId="16D12513" w14:textId="59CD5593" w:rsidR="009D1E79" w:rsidRPr="004F2E9B" w:rsidRDefault="009D1E79" w:rsidP="0012192B">
      <w:pPr>
        <w:adjustRightInd w:val="0"/>
        <w:snapToGrid w:val="0"/>
        <w:spacing w:after="0" w:line="240" w:lineRule="auto"/>
        <w:ind w:firstLine="567"/>
        <w:jc w:val="both"/>
        <w:rPr>
          <w:rFonts w:ascii="Times New Roman" w:hAnsi="Times New Roman" w:cs="Times New Roman"/>
          <w:sz w:val="20"/>
          <w:szCs w:val="20"/>
        </w:rPr>
      </w:pPr>
      <w:r w:rsidRPr="004F2E9B">
        <w:rPr>
          <w:rFonts w:ascii="Times New Roman" w:hAnsi="Times New Roman" w:cs="Times New Roman"/>
          <w:sz w:val="20"/>
          <w:szCs w:val="20"/>
        </w:rPr>
        <w:lastRenderedPageBreak/>
        <w:t>Реалізація програм з підвищення енергоефективності та розвитку відновлювальної й альтернативної енергетики, упровадження систем енергетичного  управління  відповідно до міжнародних стандартів; це теж пункт?</w:t>
      </w:r>
    </w:p>
    <w:p w14:paraId="7088053E" w14:textId="47121D15" w:rsidR="009D1E79" w:rsidRPr="004F2E9B" w:rsidRDefault="009D1E79" w:rsidP="00030A38">
      <w:pPr>
        <w:numPr>
          <w:ilvl w:val="0"/>
          <w:numId w:val="32"/>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t>упровадження</w:t>
      </w:r>
      <w:r w:rsidR="009C2BC3">
        <w:rPr>
          <w:rFonts w:ascii="Times New Roman" w:hAnsi="Times New Roman" w:cs="Times New Roman"/>
          <w:sz w:val="20"/>
          <w:szCs w:val="20"/>
        </w:rPr>
        <w:t xml:space="preserve"> </w:t>
      </w:r>
      <w:r w:rsidRPr="004F2E9B">
        <w:rPr>
          <w:rFonts w:ascii="Times New Roman" w:hAnsi="Times New Roman" w:cs="Times New Roman"/>
          <w:sz w:val="20"/>
          <w:szCs w:val="20"/>
        </w:rPr>
        <w:t>технологій ресурсно-ефективного та більш чистого виробництва;</w:t>
      </w:r>
    </w:p>
    <w:p w14:paraId="2D3E1655" w14:textId="1C93CFA6" w:rsidR="009D1E79" w:rsidRPr="004F2E9B" w:rsidRDefault="009D1E79" w:rsidP="00030A38">
      <w:pPr>
        <w:numPr>
          <w:ilvl w:val="0"/>
          <w:numId w:val="32"/>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t xml:space="preserve">створення </w:t>
      </w:r>
      <w:r w:rsidRPr="004F2E9B">
        <w:rPr>
          <w:rFonts w:ascii="Times New Roman" w:hAnsi="Times New Roman" w:cs="Times New Roman"/>
          <w:b/>
          <w:sz w:val="20"/>
          <w:szCs w:val="20"/>
        </w:rPr>
        <w:t xml:space="preserve">сприятливого регуляторного середовища </w:t>
      </w:r>
      <w:r w:rsidRPr="004F2E9B">
        <w:rPr>
          <w:rFonts w:ascii="Times New Roman" w:hAnsi="Times New Roman" w:cs="Times New Roman"/>
          <w:sz w:val="20"/>
          <w:szCs w:val="20"/>
        </w:rPr>
        <w:t>для «зеленого» бізнесу, включаючи сертифікацію екологічно орієнтованих підприємств, продукції та послуг для отримання преференцій при державному інвестуванні та закупівлях;</w:t>
      </w:r>
    </w:p>
    <w:p w14:paraId="41EB89A1" w14:textId="0E04E700" w:rsidR="009D1E79" w:rsidRPr="004F2E9B" w:rsidRDefault="009D1E79" w:rsidP="00030A38">
      <w:pPr>
        <w:numPr>
          <w:ilvl w:val="0"/>
          <w:numId w:val="32"/>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b/>
          <w:sz w:val="20"/>
          <w:szCs w:val="20"/>
        </w:rPr>
        <w:t>інвестування в дослідження</w:t>
      </w:r>
      <w:r w:rsidRPr="004F2E9B">
        <w:rPr>
          <w:rFonts w:ascii="Times New Roman" w:hAnsi="Times New Roman" w:cs="Times New Roman"/>
          <w:sz w:val="20"/>
          <w:szCs w:val="20"/>
        </w:rPr>
        <w:t>, розвиток та впровадження більш чистих технологій, створення нових виробництв та оновлення інфраструктури;</w:t>
      </w:r>
    </w:p>
    <w:p w14:paraId="040BBBA9" w14:textId="6D1EB540" w:rsidR="009D1E79" w:rsidRPr="004F2E9B" w:rsidRDefault="009D1E79" w:rsidP="00030A38">
      <w:pPr>
        <w:numPr>
          <w:ilvl w:val="0"/>
          <w:numId w:val="32"/>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b/>
          <w:sz w:val="20"/>
          <w:szCs w:val="20"/>
        </w:rPr>
        <w:t>сприяння екологічним інноваціям</w:t>
      </w:r>
      <w:r w:rsidRPr="004F2E9B">
        <w:rPr>
          <w:rFonts w:ascii="Times New Roman" w:hAnsi="Times New Roman" w:cs="Times New Roman"/>
          <w:sz w:val="20"/>
          <w:szCs w:val="20"/>
        </w:rPr>
        <w:t>, які забезпечують практичне впровадження нових технічних рішень у виробничих процессах та організації бізнесу (нетехнологічні), та доведення нових більш чистих технологій до стадії комерційного використання та виходу на ринки (технологічні);</w:t>
      </w:r>
    </w:p>
    <w:p w14:paraId="512AF186" w14:textId="77777777" w:rsidR="009D1E79" w:rsidRPr="004F2E9B" w:rsidRDefault="009D1E79" w:rsidP="00030A38">
      <w:pPr>
        <w:numPr>
          <w:ilvl w:val="0"/>
          <w:numId w:val="32"/>
        </w:numPr>
        <w:adjustRightInd w:val="0"/>
        <w:snapToGrid w:val="0"/>
        <w:spacing w:after="0" w:line="240" w:lineRule="auto"/>
        <w:ind w:left="0" w:firstLine="567"/>
        <w:jc w:val="both"/>
        <w:rPr>
          <w:rFonts w:ascii="Times New Roman" w:hAnsi="Times New Roman" w:cs="Times New Roman"/>
          <w:b/>
          <w:bCs/>
          <w:sz w:val="20"/>
          <w:szCs w:val="20"/>
        </w:rPr>
      </w:pPr>
      <w:r w:rsidRPr="004F2E9B">
        <w:rPr>
          <w:rFonts w:ascii="Times New Roman" w:hAnsi="Times New Roman" w:cs="Times New Roman"/>
          <w:b/>
          <w:bCs/>
          <w:sz w:val="20"/>
          <w:szCs w:val="20"/>
        </w:rPr>
        <w:t>розвиток сектору послуг для</w:t>
      </w:r>
    </w:p>
    <w:p w14:paraId="63C61D93" w14:textId="165B379B" w:rsidR="001A255C" w:rsidRPr="004F2E9B" w:rsidRDefault="009D1E79" w:rsidP="001A255C">
      <w:pPr>
        <w:adjustRightInd w:val="0"/>
        <w:snapToGrid w:val="0"/>
        <w:spacing w:after="0" w:line="240" w:lineRule="auto"/>
        <w:ind w:firstLine="567"/>
        <w:jc w:val="both"/>
        <w:rPr>
          <w:rFonts w:ascii="Times New Roman" w:hAnsi="Times New Roman" w:cs="Times New Roman"/>
          <w:sz w:val="20"/>
          <w:szCs w:val="20"/>
        </w:rPr>
      </w:pPr>
      <w:r w:rsidRPr="004F2E9B">
        <w:rPr>
          <w:rFonts w:ascii="Times New Roman" w:hAnsi="Times New Roman" w:cs="Times New Roman"/>
          <w:b/>
          <w:sz w:val="20"/>
          <w:szCs w:val="20"/>
        </w:rPr>
        <w:t xml:space="preserve">«зеленої» економіки </w:t>
      </w:r>
      <w:r w:rsidRPr="004F2E9B">
        <w:rPr>
          <w:rFonts w:ascii="Times New Roman" w:hAnsi="Times New Roman" w:cs="Times New Roman"/>
          <w:sz w:val="20"/>
          <w:szCs w:val="20"/>
        </w:rPr>
        <w:t>– комерціалізації і трансферу технологій, надання послуг</w:t>
      </w:r>
    </w:p>
    <w:p w14:paraId="18823E4F" w14:textId="4E1C58AD" w:rsidR="009D1E79" w:rsidRPr="004F2E9B" w:rsidRDefault="009D1E79" w:rsidP="0012192B">
      <w:pPr>
        <w:adjustRightInd w:val="0"/>
        <w:snapToGrid w:val="0"/>
        <w:spacing w:after="0" w:line="240" w:lineRule="auto"/>
        <w:ind w:firstLine="567"/>
        <w:jc w:val="both"/>
        <w:rPr>
          <w:rFonts w:ascii="Times New Roman" w:hAnsi="Times New Roman" w:cs="Times New Roman"/>
          <w:sz w:val="20"/>
          <w:szCs w:val="20"/>
        </w:rPr>
      </w:pPr>
      <w:r w:rsidRPr="004F2E9B">
        <w:rPr>
          <w:rFonts w:ascii="Times New Roman" w:hAnsi="Times New Roman" w:cs="Times New Roman"/>
          <w:sz w:val="20"/>
          <w:szCs w:val="20"/>
        </w:rPr>
        <w:t>з оптимізації виробничих процесів і матеріальних балансів, розроблення і впровадження бізнес-планів, стандартів, створення мереж та інформаційних моніторингових систем, фінансового посередництва.</w:t>
      </w:r>
    </w:p>
    <w:p w14:paraId="579D1545" w14:textId="24C8A15E" w:rsidR="009D1E79" w:rsidRPr="004F2E9B" w:rsidRDefault="009D1E79" w:rsidP="0012192B">
      <w:pPr>
        <w:adjustRightInd w:val="0"/>
        <w:snapToGrid w:val="0"/>
        <w:spacing w:after="0" w:line="240" w:lineRule="auto"/>
        <w:ind w:firstLine="567"/>
        <w:jc w:val="both"/>
        <w:rPr>
          <w:rFonts w:ascii="Times New Roman" w:hAnsi="Times New Roman" w:cs="Times New Roman"/>
          <w:sz w:val="20"/>
          <w:szCs w:val="20"/>
        </w:rPr>
      </w:pPr>
      <w:r w:rsidRPr="004F2E9B">
        <w:rPr>
          <w:rFonts w:ascii="Times New Roman" w:hAnsi="Times New Roman" w:cs="Times New Roman"/>
          <w:b/>
          <w:sz w:val="20"/>
          <w:szCs w:val="20"/>
        </w:rPr>
        <w:t>інструментарій зеленого зростання</w:t>
      </w:r>
      <w:r w:rsidRPr="004F2E9B">
        <w:rPr>
          <w:rFonts w:ascii="Times New Roman" w:hAnsi="Times New Roman" w:cs="Times New Roman"/>
          <w:sz w:val="20"/>
          <w:szCs w:val="20"/>
        </w:rPr>
        <w:t>, розроблений міжнародними організаціями та доступний на сьогодні для використання бізнесом і національними урядами, включає:</w:t>
      </w:r>
    </w:p>
    <w:p w14:paraId="4045D73A" w14:textId="05B70500" w:rsidR="009D1E79" w:rsidRPr="004F2E9B" w:rsidRDefault="009D1E79" w:rsidP="00030A38">
      <w:pPr>
        <w:numPr>
          <w:ilvl w:val="0"/>
          <w:numId w:val="31"/>
        </w:numPr>
        <w:adjustRightInd w:val="0"/>
        <w:snapToGrid w:val="0"/>
        <w:spacing w:after="0" w:line="240" w:lineRule="auto"/>
        <w:ind w:left="0" w:firstLine="567"/>
        <w:jc w:val="both"/>
        <w:rPr>
          <w:rFonts w:ascii="Times New Roman" w:hAnsi="Times New Roman" w:cs="Times New Roman"/>
          <w:bCs/>
          <w:sz w:val="20"/>
          <w:szCs w:val="20"/>
        </w:rPr>
      </w:pPr>
      <w:r w:rsidRPr="004F2E9B">
        <w:rPr>
          <w:rFonts w:ascii="Times New Roman" w:hAnsi="Times New Roman" w:cs="Times New Roman"/>
          <w:b/>
          <w:bCs/>
          <w:sz w:val="20"/>
          <w:szCs w:val="20"/>
        </w:rPr>
        <w:t>методики впровадження більш чистого виробництва (</w:t>
      </w:r>
      <w:r w:rsidR="004F2E9B" w:rsidRPr="004F2E9B">
        <w:rPr>
          <w:rFonts w:ascii="Times New Roman" w:hAnsi="Times New Roman" w:cs="Times New Roman"/>
          <w:b/>
          <w:bCs/>
          <w:sz w:val="20"/>
          <w:szCs w:val="20"/>
        </w:rPr>
        <w:t>ЮНІДО, ЮНЕП)</w:t>
      </w:r>
      <w:r w:rsidR="004F2E9B" w:rsidRPr="004F2E9B">
        <w:rPr>
          <w:rFonts w:ascii="Times New Roman" w:hAnsi="Times New Roman" w:cs="Times New Roman"/>
          <w:bCs/>
          <w:sz w:val="20"/>
          <w:szCs w:val="20"/>
        </w:rPr>
        <w:t>;</w:t>
      </w:r>
    </w:p>
    <w:p w14:paraId="525E99C5" w14:textId="258746F4" w:rsidR="009D1E79" w:rsidRPr="004F2E9B" w:rsidRDefault="009D1E79" w:rsidP="00030A38">
      <w:pPr>
        <w:numPr>
          <w:ilvl w:val="0"/>
          <w:numId w:val="31"/>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b/>
          <w:sz w:val="20"/>
          <w:szCs w:val="20"/>
        </w:rPr>
        <w:t>методики і стратегії сталого споживання і виробництва (</w:t>
      </w:r>
      <w:r w:rsidR="004F2E9B" w:rsidRPr="004F2E9B">
        <w:rPr>
          <w:rFonts w:ascii="Times New Roman" w:hAnsi="Times New Roman" w:cs="Times New Roman"/>
          <w:b/>
          <w:sz w:val="20"/>
          <w:szCs w:val="20"/>
        </w:rPr>
        <w:t>ЮНЕП)</w:t>
      </w:r>
      <w:r w:rsidRPr="004F2E9B">
        <w:rPr>
          <w:rFonts w:ascii="Times New Roman" w:hAnsi="Times New Roman" w:cs="Times New Roman"/>
          <w:sz w:val="20"/>
          <w:szCs w:val="20"/>
        </w:rPr>
        <w:t>;</w:t>
      </w:r>
    </w:p>
    <w:p w14:paraId="6FE9D386" w14:textId="3FE35A41" w:rsidR="009D1E79" w:rsidRPr="004F2E9B" w:rsidRDefault="009D1E79" w:rsidP="004F2E9B">
      <w:pPr>
        <w:numPr>
          <w:ilvl w:val="0"/>
          <w:numId w:val="31"/>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b/>
          <w:sz w:val="20"/>
          <w:szCs w:val="20"/>
        </w:rPr>
        <w:t>методики та системи показників для моніторингу ресурсної (матеріальної) ефективності</w:t>
      </w:r>
      <w:r w:rsidRPr="004F2E9B">
        <w:rPr>
          <w:rFonts w:ascii="Times New Roman" w:hAnsi="Times New Roman" w:cs="Times New Roman"/>
          <w:sz w:val="20"/>
          <w:szCs w:val="20"/>
        </w:rPr>
        <w:t>, сталого виробництва та екологічної ефективності  (ЮНЕП,  ЮНІДО,  ЕСКАТО,</w:t>
      </w:r>
      <w:r w:rsidR="004F2E9B">
        <w:rPr>
          <w:rFonts w:ascii="Times New Roman" w:hAnsi="Times New Roman" w:cs="Times New Roman"/>
          <w:sz w:val="20"/>
          <w:szCs w:val="20"/>
        </w:rPr>
        <w:t xml:space="preserve"> </w:t>
      </w:r>
      <w:r w:rsidRPr="004F2E9B">
        <w:rPr>
          <w:rFonts w:ascii="Times New Roman" w:hAnsi="Times New Roman" w:cs="Times New Roman"/>
          <w:sz w:val="20"/>
          <w:szCs w:val="20"/>
        </w:rPr>
        <w:t>ОЕСР, Всесвітня бізнес-рада із сталого розвитку);</w:t>
      </w:r>
    </w:p>
    <w:p w14:paraId="7864C04D" w14:textId="100A57EB" w:rsidR="009D1E79" w:rsidRPr="004F2E9B" w:rsidRDefault="009D1E79" w:rsidP="00030A38">
      <w:pPr>
        <w:numPr>
          <w:ilvl w:val="0"/>
          <w:numId w:val="31"/>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t>методи аналізу та управління життєвим циклом продукції по всьому ланцюгу створення вартості (міжнародний стандарт ISO 14040/14044) – ЮНЕП, ОЕСР.</w:t>
      </w:r>
    </w:p>
    <w:p w14:paraId="4C32374B" w14:textId="26E7C227" w:rsidR="009D1E79" w:rsidRPr="004F2E9B" w:rsidRDefault="009D1E79" w:rsidP="0012192B">
      <w:pPr>
        <w:adjustRightInd w:val="0"/>
        <w:snapToGrid w:val="0"/>
        <w:spacing w:after="0" w:line="240" w:lineRule="auto"/>
        <w:ind w:firstLine="567"/>
        <w:jc w:val="both"/>
        <w:rPr>
          <w:rFonts w:ascii="Times New Roman" w:hAnsi="Times New Roman" w:cs="Times New Roman"/>
          <w:sz w:val="20"/>
          <w:szCs w:val="20"/>
        </w:rPr>
      </w:pPr>
      <w:r w:rsidRPr="004F2E9B">
        <w:rPr>
          <w:rFonts w:ascii="Times New Roman" w:hAnsi="Times New Roman" w:cs="Times New Roman"/>
          <w:sz w:val="20"/>
          <w:szCs w:val="20"/>
        </w:rPr>
        <w:t xml:space="preserve">Ураховуючи, що наявна світова практика впровадження стратегій сталого розвитку не мала підтримки в Україні протягом останніх років, доцільно взяти на озброєння сучасні підходи індустріально розвинутих країн до інтегрованого вирішення економічних, соціальних та екологічних питань у стратегіях переходу до </w:t>
      </w:r>
      <w:r w:rsidRPr="004F2E9B">
        <w:rPr>
          <w:rFonts w:ascii="Times New Roman" w:hAnsi="Times New Roman" w:cs="Times New Roman"/>
          <w:b/>
          <w:sz w:val="20"/>
          <w:szCs w:val="20"/>
        </w:rPr>
        <w:t>моделі «зеленої» індустрії</w:t>
      </w:r>
      <w:r w:rsidRPr="004F2E9B">
        <w:rPr>
          <w:rFonts w:ascii="Times New Roman" w:hAnsi="Times New Roman" w:cs="Times New Roman"/>
          <w:sz w:val="20"/>
          <w:szCs w:val="20"/>
        </w:rPr>
        <w:t>.</w:t>
      </w:r>
    </w:p>
    <w:p w14:paraId="2D798722" w14:textId="36A69B2D" w:rsidR="00F947F2" w:rsidRPr="004F2E9B" w:rsidRDefault="009D1E79" w:rsidP="00F947F2">
      <w:pPr>
        <w:adjustRightInd w:val="0"/>
        <w:snapToGrid w:val="0"/>
        <w:spacing w:after="0" w:line="240" w:lineRule="auto"/>
        <w:ind w:firstLine="567"/>
        <w:jc w:val="both"/>
        <w:rPr>
          <w:rFonts w:ascii="Times New Roman" w:hAnsi="Times New Roman" w:cs="Times New Roman"/>
          <w:sz w:val="20"/>
          <w:szCs w:val="20"/>
        </w:rPr>
      </w:pPr>
      <w:r w:rsidRPr="004F2E9B">
        <w:rPr>
          <w:rFonts w:ascii="Times New Roman" w:hAnsi="Times New Roman" w:cs="Times New Roman"/>
          <w:b/>
          <w:sz w:val="20"/>
          <w:szCs w:val="20"/>
        </w:rPr>
        <w:t xml:space="preserve">Стале </w:t>
      </w:r>
      <w:r w:rsidR="004F2E9B" w:rsidRPr="004F2E9B">
        <w:rPr>
          <w:rFonts w:ascii="Times New Roman" w:hAnsi="Times New Roman" w:cs="Times New Roman"/>
          <w:b/>
          <w:sz w:val="20"/>
          <w:szCs w:val="20"/>
        </w:rPr>
        <w:t xml:space="preserve">споживання </w:t>
      </w:r>
      <w:r w:rsidRPr="004F2E9B">
        <w:rPr>
          <w:rFonts w:ascii="Times New Roman" w:hAnsi="Times New Roman" w:cs="Times New Roman"/>
          <w:b/>
          <w:sz w:val="20"/>
          <w:szCs w:val="20"/>
        </w:rPr>
        <w:t xml:space="preserve">та </w:t>
      </w:r>
      <w:r w:rsidR="004F2E9B" w:rsidRPr="004F2E9B">
        <w:rPr>
          <w:rFonts w:ascii="Times New Roman" w:hAnsi="Times New Roman" w:cs="Times New Roman"/>
          <w:b/>
          <w:sz w:val="20"/>
          <w:szCs w:val="20"/>
        </w:rPr>
        <w:t>виробництво</w:t>
      </w:r>
      <w:r w:rsidRPr="004F2E9B">
        <w:rPr>
          <w:rFonts w:ascii="Times New Roman" w:hAnsi="Times New Roman" w:cs="Times New Roman"/>
          <w:b/>
          <w:sz w:val="20"/>
          <w:szCs w:val="20"/>
        </w:rPr>
        <w:t xml:space="preserve">. </w:t>
      </w:r>
      <w:r w:rsidRPr="004F2E9B">
        <w:rPr>
          <w:rFonts w:ascii="Times New Roman" w:hAnsi="Times New Roman" w:cs="Times New Roman"/>
          <w:sz w:val="20"/>
          <w:szCs w:val="20"/>
        </w:rPr>
        <w:t xml:space="preserve">Хоча за останні два десятиліття досягнуто прогрес у створенні інституційної бази для інтеграції економічних та екологічних цілей, стратегії і заходи політики, спрямовані безпосередньо на </w:t>
      </w:r>
      <w:r w:rsidRPr="004F2E9B">
        <w:rPr>
          <w:rFonts w:ascii="Times New Roman" w:hAnsi="Times New Roman" w:cs="Times New Roman"/>
          <w:b/>
          <w:sz w:val="20"/>
          <w:szCs w:val="20"/>
        </w:rPr>
        <w:lastRenderedPageBreak/>
        <w:t>стале споживання та виробництво (ССВ)</w:t>
      </w:r>
      <w:r w:rsidRPr="004F2E9B">
        <w:rPr>
          <w:rFonts w:ascii="Times New Roman" w:hAnsi="Times New Roman" w:cs="Times New Roman"/>
          <w:sz w:val="20"/>
          <w:szCs w:val="20"/>
        </w:rPr>
        <w:t>, у країнах Східного партнерства (СП) часто недостатньо розвинені або мають декларативний характер. ССВ рідко інтегровані в стратегії розвитку держави. Екологічна політика проводиться в основному у відриві від галузевої  політики.  Остання  також</w:t>
      </w:r>
    </w:p>
    <w:p w14:paraId="6FF3877B" w14:textId="64BC73BE" w:rsidR="009D1E79" w:rsidRPr="004F2E9B" w:rsidRDefault="009D1E79" w:rsidP="0012192B">
      <w:pPr>
        <w:adjustRightInd w:val="0"/>
        <w:snapToGrid w:val="0"/>
        <w:spacing w:after="0" w:line="240" w:lineRule="auto"/>
        <w:ind w:firstLine="567"/>
        <w:jc w:val="both"/>
        <w:rPr>
          <w:rFonts w:ascii="Times New Roman" w:hAnsi="Times New Roman" w:cs="Times New Roman"/>
          <w:sz w:val="20"/>
          <w:szCs w:val="20"/>
        </w:rPr>
      </w:pPr>
      <w:r w:rsidRPr="004F2E9B">
        <w:rPr>
          <w:rFonts w:ascii="Times New Roman" w:hAnsi="Times New Roman" w:cs="Times New Roman"/>
          <w:sz w:val="20"/>
          <w:szCs w:val="20"/>
        </w:rPr>
        <w:t>характеризується відсутністю багатьох елементів ССВ, за винятком деяких міркувань енергоефективності (наприклад, будівель і транспорту). Тому країни СП повинні освоїти більш стратегічний підхід до ССВ.</w:t>
      </w:r>
    </w:p>
    <w:p w14:paraId="6CA15C83" w14:textId="7784DC55" w:rsidR="009D1E79" w:rsidRPr="004F2E9B" w:rsidRDefault="009D1E79" w:rsidP="0012192B">
      <w:pPr>
        <w:adjustRightInd w:val="0"/>
        <w:snapToGrid w:val="0"/>
        <w:spacing w:after="0" w:line="240" w:lineRule="auto"/>
        <w:ind w:firstLine="567"/>
        <w:jc w:val="both"/>
        <w:rPr>
          <w:rFonts w:ascii="Times New Roman" w:hAnsi="Times New Roman" w:cs="Times New Roman"/>
          <w:sz w:val="20"/>
          <w:szCs w:val="20"/>
        </w:rPr>
      </w:pPr>
      <w:r w:rsidRPr="004F2E9B">
        <w:rPr>
          <w:rFonts w:ascii="Times New Roman" w:hAnsi="Times New Roman" w:cs="Times New Roman"/>
          <w:sz w:val="20"/>
          <w:szCs w:val="20"/>
        </w:rPr>
        <w:t xml:space="preserve">Орієнтирами у прийнятті стратегічного підходу до </w:t>
      </w:r>
      <w:r w:rsidRPr="004F2E9B">
        <w:rPr>
          <w:rFonts w:ascii="Times New Roman" w:hAnsi="Times New Roman" w:cs="Times New Roman"/>
          <w:b/>
          <w:sz w:val="20"/>
          <w:szCs w:val="20"/>
        </w:rPr>
        <w:t xml:space="preserve">ССВ у країнах СП </w:t>
      </w:r>
      <w:r w:rsidRPr="004F2E9B">
        <w:rPr>
          <w:rFonts w:ascii="Times New Roman" w:hAnsi="Times New Roman" w:cs="Times New Roman"/>
          <w:sz w:val="20"/>
          <w:szCs w:val="20"/>
        </w:rPr>
        <w:t xml:space="preserve">можуть слугувати </w:t>
      </w:r>
      <w:r w:rsidRPr="004F2E9B">
        <w:rPr>
          <w:rFonts w:ascii="Times New Roman" w:hAnsi="Times New Roman" w:cs="Times New Roman"/>
          <w:b/>
          <w:sz w:val="20"/>
          <w:szCs w:val="20"/>
        </w:rPr>
        <w:t xml:space="preserve">міжнародний досвід і міжнародні угоди. </w:t>
      </w:r>
      <w:r w:rsidRPr="004F2E9B">
        <w:rPr>
          <w:rFonts w:ascii="Times New Roman" w:hAnsi="Times New Roman" w:cs="Times New Roman"/>
          <w:sz w:val="20"/>
          <w:szCs w:val="20"/>
        </w:rPr>
        <w:t xml:space="preserve">Так, за останнє десятиліття в Європейському Союзі зроблені деякі важливі кроки щодо впровадження більш комплексних основ політики, спрямованих на заохочення стійких моделей споживання та виробництва. Зокрема, з моменту затвердження у 2008 р. у ЄС реалізується </w:t>
      </w:r>
      <w:r w:rsidRPr="004F2E9B">
        <w:rPr>
          <w:rFonts w:ascii="Times New Roman" w:hAnsi="Times New Roman" w:cs="Times New Roman"/>
          <w:b/>
          <w:sz w:val="20"/>
          <w:szCs w:val="20"/>
        </w:rPr>
        <w:t xml:space="preserve">План дій зі сталого споживання та виробництва і стійкої промислової політики. </w:t>
      </w:r>
      <w:r w:rsidRPr="004F2E9B">
        <w:rPr>
          <w:rFonts w:ascii="Times New Roman" w:hAnsi="Times New Roman" w:cs="Times New Roman"/>
          <w:sz w:val="20"/>
          <w:szCs w:val="20"/>
        </w:rPr>
        <w:t>У рамках процесу «Довкілля для Європи» міністри довкілля, у тому числі країн СП, узяли зобов'язання, пов'язані зі створенням більш комплексних основ політики, спрямованих на заохочення моделей ССВ на рівні країн. У глобальних масштабах важливою рушійною силою заохочення ССВ є прийнята на конференції</w:t>
      </w:r>
    </w:p>
    <w:p w14:paraId="0566FDE9" w14:textId="54CA581B" w:rsidR="009D1E79" w:rsidRPr="004F2E9B" w:rsidRDefault="009D1E79" w:rsidP="0012192B">
      <w:pPr>
        <w:adjustRightInd w:val="0"/>
        <w:snapToGrid w:val="0"/>
        <w:spacing w:after="0" w:line="240" w:lineRule="auto"/>
        <w:ind w:firstLine="567"/>
        <w:jc w:val="both"/>
        <w:rPr>
          <w:rFonts w:ascii="Times New Roman" w:hAnsi="Times New Roman" w:cs="Times New Roman"/>
          <w:sz w:val="20"/>
          <w:szCs w:val="20"/>
        </w:rPr>
      </w:pPr>
      <w:r w:rsidRPr="004F2E9B">
        <w:rPr>
          <w:rFonts w:ascii="Times New Roman" w:hAnsi="Times New Roman" w:cs="Times New Roman"/>
          <w:b/>
          <w:sz w:val="20"/>
          <w:szCs w:val="20"/>
        </w:rPr>
        <w:t xml:space="preserve">«Ріо + 20» (у червні 2012 р) 10-річна рамкова основа програм (РоП 10) у сфері ССВ. </w:t>
      </w:r>
      <w:r w:rsidRPr="004F2E9B">
        <w:rPr>
          <w:rFonts w:ascii="Times New Roman" w:hAnsi="Times New Roman" w:cs="Times New Roman"/>
          <w:sz w:val="20"/>
          <w:szCs w:val="20"/>
        </w:rPr>
        <w:t>Глобальний центр обміну інформацією про ССВ, який буде створений за РОП 10, слугуватиме динамічним інформаційним центром обміну знаннями про політику, інструментах, ініціативах та зразках кращої практики у сфері ССВ.</w:t>
      </w:r>
    </w:p>
    <w:p w14:paraId="5B2791E9" w14:textId="6F05EB95" w:rsidR="009D1E79" w:rsidRPr="004F2E9B" w:rsidRDefault="009D1E79" w:rsidP="0012192B">
      <w:pPr>
        <w:adjustRightInd w:val="0"/>
        <w:snapToGrid w:val="0"/>
        <w:spacing w:after="0" w:line="240" w:lineRule="auto"/>
        <w:ind w:firstLine="567"/>
        <w:jc w:val="both"/>
        <w:rPr>
          <w:rFonts w:ascii="Times New Roman" w:hAnsi="Times New Roman" w:cs="Times New Roman"/>
          <w:sz w:val="20"/>
          <w:szCs w:val="20"/>
        </w:rPr>
      </w:pPr>
      <w:r w:rsidRPr="004F2E9B">
        <w:rPr>
          <w:rFonts w:ascii="Times New Roman" w:hAnsi="Times New Roman" w:cs="Times New Roman"/>
          <w:sz w:val="20"/>
          <w:szCs w:val="20"/>
        </w:rPr>
        <w:t>Хоча потенційний позитивний ефект реформування екологічних стимулів широко визнається в країнах ОЕСР, прогресу часто перешкоджає використання сільськогосподарських субсидій і субсидій, пов'язаних з енергетикою і транспортом. Таким чином, стратегією реформ повинні визначатися способи пом'якшення несприятливої дії реформування субсидій, особливо на малозабезпечені й соціально вразливі групи населення, без нівелювання екологічної дієвості реформ.</w:t>
      </w:r>
    </w:p>
    <w:p w14:paraId="095C1779" w14:textId="1083A3FB" w:rsidR="009D1E79" w:rsidRPr="004F2E9B" w:rsidRDefault="009D1E79" w:rsidP="00C4303A">
      <w:pPr>
        <w:adjustRightInd w:val="0"/>
        <w:snapToGrid w:val="0"/>
        <w:spacing w:after="0" w:line="240" w:lineRule="auto"/>
        <w:ind w:firstLine="567"/>
        <w:jc w:val="both"/>
        <w:rPr>
          <w:rFonts w:ascii="Times New Roman" w:hAnsi="Times New Roman" w:cs="Times New Roman"/>
          <w:sz w:val="20"/>
          <w:szCs w:val="20"/>
        </w:rPr>
      </w:pPr>
      <w:r w:rsidRPr="004F2E9B">
        <w:rPr>
          <w:rFonts w:ascii="Times New Roman" w:hAnsi="Times New Roman" w:cs="Times New Roman"/>
          <w:sz w:val="20"/>
          <w:szCs w:val="20"/>
        </w:rPr>
        <w:t>Прогрес на етапі вступу України до Світової організації торгівлі та розширення зв’язків з Європейським Союзом значною мірою залежить від рівня приведення національної системи технічного регулювання у відповідність до міжнародних стандартів, підвищення конкурентоспроможності вітчизняних товарів і стає можливим саме завдяки ефективності технічного регулювання та споживчої політики України.</w:t>
      </w:r>
    </w:p>
    <w:p w14:paraId="2CFD3468" w14:textId="25369CDE" w:rsidR="009D1E79" w:rsidRPr="004F2E9B" w:rsidRDefault="009D1E79" w:rsidP="0012192B">
      <w:pPr>
        <w:adjustRightInd w:val="0"/>
        <w:snapToGrid w:val="0"/>
        <w:spacing w:after="0" w:line="240" w:lineRule="auto"/>
        <w:ind w:firstLine="567"/>
        <w:jc w:val="both"/>
        <w:rPr>
          <w:rFonts w:ascii="Times New Roman" w:hAnsi="Times New Roman" w:cs="Times New Roman"/>
          <w:sz w:val="20"/>
          <w:szCs w:val="20"/>
        </w:rPr>
      </w:pPr>
      <w:r w:rsidRPr="004F2E9B">
        <w:rPr>
          <w:rFonts w:ascii="Times New Roman" w:hAnsi="Times New Roman" w:cs="Times New Roman"/>
          <w:sz w:val="20"/>
          <w:szCs w:val="20"/>
        </w:rPr>
        <w:t>Можна стверджувати, що концептуальними принципами політики сталого споживання та виробництвав Україні можна вважати:</w:t>
      </w:r>
    </w:p>
    <w:p w14:paraId="08D03D25" w14:textId="2083E898" w:rsidR="009D1E79" w:rsidRPr="004F2E9B" w:rsidRDefault="009D1E79" w:rsidP="00030A38">
      <w:pPr>
        <w:numPr>
          <w:ilvl w:val="0"/>
          <w:numId w:val="30"/>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t>принцип</w:t>
      </w:r>
      <w:r w:rsidR="009C2BC3">
        <w:rPr>
          <w:rFonts w:ascii="Times New Roman" w:hAnsi="Times New Roman" w:cs="Times New Roman"/>
          <w:sz w:val="20"/>
          <w:szCs w:val="20"/>
        </w:rPr>
        <w:t xml:space="preserve"> </w:t>
      </w:r>
      <w:r w:rsidRPr="004F2E9B">
        <w:rPr>
          <w:rFonts w:ascii="Times New Roman" w:hAnsi="Times New Roman" w:cs="Times New Roman"/>
          <w:sz w:val="20"/>
          <w:szCs w:val="20"/>
        </w:rPr>
        <w:t>еколого-економічної єдності інтересів щодо формування політики сталого споживання та виробництва;</w:t>
      </w:r>
    </w:p>
    <w:p w14:paraId="37C6733B" w14:textId="0BE1934A" w:rsidR="009D1E79" w:rsidRPr="004F2E9B" w:rsidRDefault="009D1E79" w:rsidP="00030A38">
      <w:pPr>
        <w:numPr>
          <w:ilvl w:val="0"/>
          <w:numId w:val="30"/>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t>принцип пріоритетності природоохоронних витрат у загальній системі бюджетних витрат;</w:t>
      </w:r>
    </w:p>
    <w:p w14:paraId="533F8084" w14:textId="03619EFD" w:rsidR="009D1E79" w:rsidRPr="004F2E9B" w:rsidRDefault="009D1E79" w:rsidP="00030A38">
      <w:pPr>
        <w:numPr>
          <w:ilvl w:val="0"/>
          <w:numId w:val="30"/>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lastRenderedPageBreak/>
        <w:t>принцип концентрації державних фінансових ресурсів на природоохоронні та превентивні заходи відповідно до сформульованих цілей та вимог щодо забезпечення економічної ефективності їх використання;</w:t>
      </w:r>
    </w:p>
    <w:p w14:paraId="463218E0" w14:textId="13E1BEE5" w:rsidR="009D1E79" w:rsidRPr="004F2E9B" w:rsidRDefault="009D1E79" w:rsidP="00030A38">
      <w:pPr>
        <w:numPr>
          <w:ilvl w:val="0"/>
          <w:numId w:val="30"/>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t>принцип синхронізації дій («синергії»), що проявляється в синхронному проведенні певних екологоекономічних реформ, що впливають на соціально-економічний розвиток країни, узгодження пріоритетів та дій центральних і місцевих органів виконавчої влади, органів місцевого самоврядування щодо регіонального та місцевого розвитку в еколого збалансованому контексті;</w:t>
      </w:r>
    </w:p>
    <w:p w14:paraId="0AF129D0" w14:textId="76ECAE72" w:rsidR="009D1E79" w:rsidRPr="004F2E9B" w:rsidRDefault="009D1E79" w:rsidP="00030A38">
      <w:pPr>
        <w:numPr>
          <w:ilvl w:val="0"/>
          <w:numId w:val="30"/>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t>принцип субсидіарності та збалансованого розвитку, який зумовлює диференційованість надання державної підтримки щодо забезпечення розвитку політики сталого споживання та виробництва;</w:t>
      </w:r>
    </w:p>
    <w:p w14:paraId="36F28704" w14:textId="5BAB706F" w:rsidR="00474FDE" w:rsidRDefault="009D1E79" w:rsidP="00474FDE">
      <w:pPr>
        <w:numPr>
          <w:ilvl w:val="0"/>
          <w:numId w:val="30"/>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t>принцип партнерства, яке передбачає співпрацю між центральними і місцевими органами виконавчої влади, органами місцевого самоврядування, об'єднаннями громадян, суб'єктами господарювання під час реалізації стратегічних екологічних завдань, проведення екологічного моніторингу та оцінки можливих негативних наслідків.</w:t>
      </w:r>
    </w:p>
    <w:p w14:paraId="5DFEF2B0" w14:textId="5B054A48" w:rsidR="009D1E79" w:rsidRPr="00474FDE" w:rsidRDefault="009D1E79" w:rsidP="00474FDE">
      <w:pPr>
        <w:adjustRightInd w:val="0"/>
        <w:snapToGrid w:val="0"/>
        <w:spacing w:after="0" w:line="240" w:lineRule="auto"/>
        <w:ind w:firstLine="567"/>
        <w:jc w:val="both"/>
        <w:rPr>
          <w:rFonts w:ascii="Times New Roman" w:hAnsi="Times New Roman" w:cs="Times New Roman"/>
          <w:sz w:val="20"/>
          <w:szCs w:val="20"/>
        </w:rPr>
      </w:pPr>
      <w:r w:rsidRPr="00474FDE">
        <w:rPr>
          <w:rFonts w:ascii="Times New Roman" w:hAnsi="Times New Roman" w:cs="Times New Roman"/>
          <w:sz w:val="20"/>
          <w:szCs w:val="20"/>
        </w:rPr>
        <w:t>Сьогодні необхідно визначити шляхи укріплення інституціональної спроможності щодо забезпечення політики сталого споживання та виробництва:</w:t>
      </w:r>
    </w:p>
    <w:p w14:paraId="18B13636" w14:textId="74FFA4F0" w:rsidR="009D1E79" w:rsidRPr="004F2E9B" w:rsidRDefault="009D1E79" w:rsidP="00030A38">
      <w:pPr>
        <w:numPr>
          <w:ilvl w:val="1"/>
          <w:numId w:val="30"/>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t xml:space="preserve">удосконалення системи </w:t>
      </w:r>
      <w:r w:rsidRPr="004F2E9B">
        <w:rPr>
          <w:rFonts w:ascii="Times New Roman" w:hAnsi="Times New Roman" w:cs="Times New Roman"/>
          <w:b/>
          <w:sz w:val="20"/>
          <w:szCs w:val="20"/>
        </w:rPr>
        <w:t>державного контролю</w:t>
      </w:r>
      <w:r w:rsidRPr="004F2E9B">
        <w:rPr>
          <w:rFonts w:ascii="Times New Roman" w:hAnsi="Times New Roman" w:cs="Times New Roman"/>
          <w:sz w:val="20"/>
          <w:szCs w:val="20"/>
        </w:rPr>
        <w:t>, зокрема формування єдиної системи контролю за дотриманням законодавства про дотримання конституційних прав громадян на якісне довкілля та захист їх прав як споживачів;</w:t>
      </w:r>
    </w:p>
    <w:p w14:paraId="61797B26" w14:textId="3FA659D1" w:rsidR="009D1E79" w:rsidRPr="004F2E9B" w:rsidRDefault="009D1E79" w:rsidP="00030A38">
      <w:pPr>
        <w:numPr>
          <w:ilvl w:val="1"/>
          <w:numId w:val="30"/>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t>посилення</w:t>
      </w:r>
      <w:r w:rsidR="009C2BC3">
        <w:rPr>
          <w:rFonts w:ascii="Times New Roman" w:hAnsi="Times New Roman" w:cs="Times New Roman"/>
          <w:sz w:val="20"/>
          <w:szCs w:val="20"/>
        </w:rPr>
        <w:t xml:space="preserve"> </w:t>
      </w:r>
      <w:r w:rsidRPr="004F2E9B">
        <w:rPr>
          <w:rFonts w:ascii="Times New Roman" w:hAnsi="Times New Roman" w:cs="Times New Roman"/>
          <w:b/>
          <w:sz w:val="20"/>
          <w:szCs w:val="20"/>
        </w:rPr>
        <w:t>відповідальності забруднювачів</w:t>
      </w:r>
      <w:r w:rsidRPr="004F2E9B">
        <w:rPr>
          <w:rFonts w:ascii="Times New Roman" w:hAnsi="Times New Roman" w:cs="Times New Roman"/>
          <w:sz w:val="20"/>
          <w:szCs w:val="20"/>
        </w:rPr>
        <w:t>, зокрема підвищення нормативів чинної системи збору за забруднення навколишнього природного середовища до рівня, що стимулює суб'єктів господарювання скорочувати обсяги забруднення;</w:t>
      </w:r>
    </w:p>
    <w:p w14:paraId="0C76503A" w14:textId="77275531" w:rsidR="009D1E79" w:rsidRPr="004F2E9B" w:rsidRDefault="009D1E79" w:rsidP="00030A38">
      <w:pPr>
        <w:numPr>
          <w:ilvl w:val="1"/>
          <w:numId w:val="30"/>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t xml:space="preserve">підвищення </w:t>
      </w:r>
      <w:r w:rsidRPr="004F2E9B">
        <w:rPr>
          <w:rFonts w:ascii="Times New Roman" w:hAnsi="Times New Roman" w:cs="Times New Roman"/>
          <w:b/>
          <w:sz w:val="20"/>
          <w:szCs w:val="20"/>
        </w:rPr>
        <w:t xml:space="preserve">фінансової відповідальності </w:t>
      </w:r>
      <w:r w:rsidRPr="004F2E9B">
        <w:rPr>
          <w:rFonts w:ascii="Times New Roman" w:hAnsi="Times New Roman" w:cs="Times New Roman"/>
          <w:sz w:val="20"/>
          <w:szCs w:val="20"/>
        </w:rPr>
        <w:t>порушників законодавства, розширення бази оподаткування, розроблення нових правил проведення оцінки збитку на основі фактичних витрат на відновлювальні заходи;</w:t>
      </w:r>
    </w:p>
    <w:p w14:paraId="31F0785E" w14:textId="1E3F052E" w:rsidR="009D1E79" w:rsidRPr="004F2E9B" w:rsidRDefault="009D1E79" w:rsidP="00030A38">
      <w:pPr>
        <w:numPr>
          <w:ilvl w:val="1"/>
          <w:numId w:val="30"/>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t xml:space="preserve">реформування </w:t>
      </w:r>
      <w:r w:rsidRPr="004F2E9B">
        <w:rPr>
          <w:rFonts w:ascii="Times New Roman" w:hAnsi="Times New Roman" w:cs="Times New Roman"/>
          <w:b/>
          <w:sz w:val="20"/>
          <w:szCs w:val="20"/>
        </w:rPr>
        <w:t>системи видачі дозволів</w:t>
      </w:r>
      <w:r w:rsidRPr="004F2E9B">
        <w:rPr>
          <w:rFonts w:ascii="Times New Roman" w:hAnsi="Times New Roman" w:cs="Times New Roman"/>
          <w:sz w:val="20"/>
          <w:szCs w:val="20"/>
        </w:rPr>
        <w:t>, зокрема перехід до видачі комплексних дозволів для забруднювачів за принципом «єдиного вікна», спрощення процедури для малих і середніх підприємств, розроблення системи технологічних нормативів на викиди, скиди, розміщення відходів;</w:t>
      </w:r>
    </w:p>
    <w:p w14:paraId="714689EF" w14:textId="5EB3FCA8" w:rsidR="009D1E79" w:rsidRPr="004F2E9B" w:rsidRDefault="009D1E79" w:rsidP="00030A38">
      <w:pPr>
        <w:numPr>
          <w:ilvl w:val="1"/>
          <w:numId w:val="30"/>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t xml:space="preserve">створення </w:t>
      </w:r>
      <w:r w:rsidRPr="004F2E9B">
        <w:rPr>
          <w:rFonts w:ascii="Times New Roman" w:hAnsi="Times New Roman" w:cs="Times New Roman"/>
          <w:b/>
          <w:sz w:val="20"/>
          <w:szCs w:val="20"/>
        </w:rPr>
        <w:t xml:space="preserve">відповідних національних інституцій </w:t>
      </w:r>
      <w:r w:rsidRPr="004F2E9B">
        <w:rPr>
          <w:rFonts w:ascii="Times New Roman" w:hAnsi="Times New Roman" w:cs="Times New Roman"/>
          <w:sz w:val="20"/>
          <w:szCs w:val="20"/>
        </w:rPr>
        <w:t>для забезпечення впровадження політики сталого споживання та виробництва;</w:t>
      </w:r>
    </w:p>
    <w:p w14:paraId="3A268338" w14:textId="36D7C8AC" w:rsidR="009D1E79" w:rsidRPr="004F2E9B" w:rsidRDefault="009D1E79" w:rsidP="00030A38">
      <w:pPr>
        <w:numPr>
          <w:ilvl w:val="1"/>
          <w:numId w:val="30"/>
        </w:numPr>
        <w:adjustRightInd w:val="0"/>
        <w:snapToGrid w:val="0"/>
        <w:spacing w:after="0" w:line="240" w:lineRule="auto"/>
        <w:ind w:left="0" w:firstLine="567"/>
        <w:jc w:val="both"/>
        <w:rPr>
          <w:rFonts w:ascii="Times New Roman" w:hAnsi="Times New Roman" w:cs="Times New Roman"/>
          <w:bCs/>
          <w:sz w:val="20"/>
          <w:szCs w:val="20"/>
        </w:rPr>
      </w:pPr>
      <w:r w:rsidRPr="004F2E9B">
        <w:rPr>
          <w:rFonts w:ascii="Times New Roman" w:hAnsi="Times New Roman" w:cs="Times New Roman"/>
          <w:b/>
          <w:bCs/>
          <w:sz w:val="20"/>
          <w:szCs w:val="20"/>
        </w:rPr>
        <w:t>гармонізація</w:t>
      </w:r>
      <w:r w:rsidR="009C2BC3">
        <w:rPr>
          <w:rFonts w:ascii="Times New Roman" w:hAnsi="Times New Roman" w:cs="Times New Roman"/>
          <w:b/>
          <w:bCs/>
          <w:sz w:val="20"/>
          <w:szCs w:val="20"/>
        </w:rPr>
        <w:t xml:space="preserve"> </w:t>
      </w:r>
      <w:r w:rsidRPr="004F2E9B">
        <w:rPr>
          <w:rFonts w:ascii="Times New Roman" w:hAnsi="Times New Roman" w:cs="Times New Roman"/>
          <w:b/>
          <w:bCs/>
          <w:sz w:val="20"/>
          <w:szCs w:val="20"/>
        </w:rPr>
        <w:t xml:space="preserve">національної політики з європейським та нормами міжнародного </w:t>
      </w:r>
      <w:r w:rsidRPr="004F2E9B">
        <w:rPr>
          <w:rFonts w:ascii="Times New Roman" w:hAnsi="Times New Roman" w:cs="Times New Roman"/>
          <w:bCs/>
          <w:sz w:val="20"/>
          <w:szCs w:val="20"/>
        </w:rPr>
        <w:t>права.</w:t>
      </w:r>
    </w:p>
    <w:p w14:paraId="7284DCAC" w14:textId="7939FEA5" w:rsidR="009D1E79" w:rsidRPr="004F2E9B" w:rsidRDefault="009D1E79" w:rsidP="0012192B">
      <w:pPr>
        <w:adjustRightInd w:val="0"/>
        <w:snapToGrid w:val="0"/>
        <w:spacing w:after="0" w:line="240" w:lineRule="auto"/>
        <w:ind w:firstLine="567"/>
        <w:jc w:val="both"/>
        <w:rPr>
          <w:rFonts w:ascii="Times New Roman" w:hAnsi="Times New Roman" w:cs="Times New Roman"/>
          <w:sz w:val="20"/>
          <w:szCs w:val="20"/>
        </w:rPr>
      </w:pPr>
      <w:r w:rsidRPr="004F2E9B">
        <w:rPr>
          <w:rFonts w:ascii="Times New Roman" w:hAnsi="Times New Roman" w:cs="Times New Roman"/>
          <w:sz w:val="20"/>
          <w:szCs w:val="20"/>
        </w:rPr>
        <w:t xml:space="preserve">З огляду на вищезазначене можна констатувати, що на сьогодні в Україні існують об’єктивні засади для формування </w:t>
      </w:r>
      <w:r w:rsidRPr="004F2E9B">
        <w:rPr>
          <w:rFonts w:ascii="Times New Roman" w:hAnsi="Times New Roman" w:cs="Times New Roman"/>
          <w:b/>
          <w:sz w:val="20"/>
          <w:szCs w:val="20"/>
        </w:rPr>
        <w:t>ідеології забезпечення сталого споживання та виробництва</w:t>
      </w:r>
      <w:r w:rsidRPr="004F2E9B">
        <w:rPr>
          <w:rFonts w:ascii="Times New Roman" w:hAnsi="Times New Roman" w:cs="Times New Roman"/>
          <w:sz w:val="20"/>
          <w:szCs w:val="20"/>
        </w:rPr>
        <w:t>, яка поєднує можливості як державного, так і ринкового регулювання.</w:t>
      </w:r>
    </w:p>
    <w:p w14:paraId="6E12B0D0" w14:textId="77777777" w:rsidR="009D1E79" w:rsidRPr="004F2E9B" w:rsidRDefault="009D1E79" w:rsidP="0012192B">
      <w:pPr>
        <w:adjustRightInd w:val="0"/>
        <w:snapToGrid w:val="0"/>
        <w:spacing w:after="0" w:line="240" w:lineRule="auto"/>
        <w:ind w:firstLine="567"/>
        <w:jc w:val="both"/>
        <w:rPr>
          <w:rFonts w:ascii="Times New Roman" w:hAnsi="Times New Roman" w:cs="Times New Roman"/>
          <w:sz w:val="20"/>
          <w:szCs w:val="20"/>
        </w:rPr>
      </w:pPr>
      <w:r w:rsidRPr="004F2E9B">
        <w:rPr>
          <w:rFonts w:ascii="Times New Roman" w:hAnsi="Times New Roman" w:cs="Times New Roman"/>
          <w:sz w:val="20"/>
          <w:szCs w:val="20"/>
        </w:rPr>
        <w:lastRenderedPageBreak/>
        <w:t>Сценарій розвитку цього процесу в Україні полягає в синтезі трьох напрямів:</w:t>
      </w:r>
    </w:p>
    <w:p w14:paraId="382BBF0E" w14:textId="4890F9DC" w:rsidR="00C4303A" w:rsidRPr="004F2E9B" w:rsidRDefault="009D1E79" w:rsidP="00030A38">
      <w:pPr>
        <w:numPr>
          <w:ilvl w:val="1"/>
          <w:numId w:val="31"/>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t>Законодавчо-нормативна</w:t>
      </w:r>
      <w:r w:rsidR="009C2BC3">
        <w:rPr>
          <w:rFonts w:ascii="Times New Roman" w:hAnsi="Times New Roman" w:cs="Times New Roman"/>
          <w:sz w:val="20"/>
          <w:szCs w:val="20"/>
        </w:rPr>
        <w:t xml:space="preserve"> </w:t>
      </w:r>
      <w:r w:rsidRPr="004F2E9B">
        <w:rPr>
          <w:rFonts w:ascii="Times New Roman" w:hAnsi="Times New Roman" w:cs="Times New Roman"/>
          <w:sz w:val="20"/>
          <w:szCs w:val="20"/>
        </w:rPr>
        <w:t>підтримка та адаптація до чинного міжнародного законодавчого поля.</w:t>
      </w:r>
    </w:p>
    <w:p w14:paraId="0CE4319D" w14:textId="6ABC1A51" w:rsidR="009D1E79" w:rsidRPr="004F2E9B" w:rsidRDefault="009D1E79" w:rsidP="00030A38">
      <w:pPr>
        <w:numPr>
          <w:ilvl w:val="1"/>
          <w:numId w:val="31"/>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t>Створення відповідної національної інфраструктури.</w:t>
      </w:r>
    </w:p>
    <w:p w14:paraId="2950179F" w14:textId="4D4A87FE" w:rsidR="009D1E79" w:rsidRPr="004F2E9B" w:rsidRDefault="009D1E79" w:rsidP="00030A38">
      <w:pPr>
        <w:numPr>
          <w:ilvl w:val="1"/>
          <w:numId w:val="31"/>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t>Розроблення та реалізація спеціальної державної програми для забезпечення сталого споживання та виробництва.</w:t>
      </w:r>
    </w:p>
    <w:p w14:paraId="00A70276" w14:textId="24F9EAD8" w:rsidR="009D1E79" w:rsidRPr="004F2E9B" w:rsidRDefault="009D1E79" w:rsidP="0012192B">
      <w:pPr>
        <w:adjustRightInd w:val="0"/>
        <w:snapToGrid w:val="0"/>
        <w:spacing w:after="0" w:line="240" w:lineRule="auto"/>
        <w:ind w:firstLine="567"/>
        <w:jc w:val="both"/>
        <w:rPr>
          <w:rFonts w:ascii="Times New Roman" w:hAnsi="Times New Roman" w:cs="Times New Roman"/>
          <w:sz w:val="20"/>
          <w:szCs w:val="20"/>
        </w:rPr>
      </w:pPr>
      <w:r w:rsidRPr="004F2E9B">
        <w:rPr>
          <w:rFonts w:ascii="Times New Roman" w:hAnsi="Times New Roman" w:cs="Times New Roman"/>
          <w:sz w:val="20"/>
          <w:szCs w:val="20"/>
        </w:rPr>
        <w:t>Реалізація цього можлива при відповідному державному управлінні й розробленні Концепції державної політики у сфері управління якістю довкілля, аналогічно з прийнятою раніше Концепцією державної політики у сфері управління якістю продукції.</w:t>
      </w:r>
    </w:p>
    <w:p w14:paraId="22161839" w14:textId="4D0AE5D3" w:rsidR="009D1E79" w:rsidRPr="004F2E9B" w:rsidRDefault="009D1E79" w:rsidP="0012192B">
      <w:pPr>
        <w:adjustRightInd w:val="0"/>
        <w:snapToGrid w:val="0"/>
        <w:spacing w:after="0" w:line="240" w:lineRule="auto"/>
        <w:ind w:firstLine="567"/>
        <w:jc w:val="both"/>
        <w:rPr>
          <w:rFonts w:ascii="Times New Roman" w:hAnsi="Times New Roman" w:cs="Times New Roman"/>
          <w:sz w:val="20"/>
          <w:szCs w:val="20"/>
        </w:rPr>
      </w:pPr>
      <w:r w:rsidRPr="004F2E9B">
        <w:rPr>
          <w:rFonts w:ascii="Times New Roman" w:hAnsi="Times New Roman" w:cs="Times New Roman"/>
          <w:sz w:val="20"/>
          <w:szCs w:val="20"/>
        </w:rPr>
        <w:t xml:space="preserve">Згідно з цим доцільно запропонувати </w:t>
      </w:r>
      <w:r w:rsidRPr="004F2E9B">
        <w:rPr>
          <w:rFonts w:ascii="Times New Roman" w:hAnsi="Times New Roman" w:cs="Times New Roman"/>
          <w:b/>
          <w:sz w:val="20"/>
          <w:szCs w:val="20"/>
        </w:rPr>
        <w:t xml:space="preserve">напрями активізації розвитку управлінських та організаційних інновацій </w:t>
      </w:r>
      <w:r w:rsidRPr="004F2E9B">
        <w:rPr>
          <w:rFonts w:ascii="Times New Roman" w:hAnsi="Times New Roman" w:cs="Times New Roman"/>
          <w:sz w:val="20"/>
          <w:szCs w:val="20"/>
        </w:rPr>
        <w:t>в Україні на відповідність міжнародним стандартам якості продукції та довкілля в таких сферах:</w:t>
      </w:r>
    </w:p>
    <w:p w14:paraId="44AC14C1" w14:textId="77777777" w:rsidR="009D1E79" w:rsidRPr="004F2E9B" w:rsidRDefault="009D1E79" w:rsidP="00030A38">
      <w:pPr>
        <w:numPr>
          <w:ilvl w:val="1"/>
          <w:numId w:val="31"/>
        </w:numPr>
        <w:adjustRightInd w:val="0"/>
        <w:snapToGrid w:val="0"/>
        <w:spacing w:after="0" w:line="240" w:lineRule="auto"/>
        <w:ind w:left="0" w:firstLine="567"/>
        <w:jc w:val="both"/>
        <w:rPr>
          <w:rFonts w:ascii="Times New Roman" w:hAnsi="Times New Roman" w:cs="Times New Roman"/>
          <w:bCs/>
          <w:sz w:val="20"/>
          <w:szCs w:val="20"/>
        </w:rPr>
      </w:pPr>
      <w:r w:rsidRPr="004F2E9B">
        <w:rPr>
          <w:rFonts w:ascii="Times New Roman" w:hAnsi="Times New Roman" w:cs="Times New Roman"/>
          <w:b/>
          <w:bCs/>
          <w:sz w:val="20"/>
          <w:szCs w:val="20"/>
        </w:rPr>
        <w:t>у  законодавчо-нормативній</w:t>
      </w:r>
      <w:r w:rsidRPr="004F2E9B">
        <w:rPr>
          <w:rFonts w:ascii="Times New Roman" w:hAnsi="Times New Roman" w:cs="Times New Roman"/>
          <w:bCs/>
          <w:sz w:val="20"/>
          <w:szCs w:val="20"/>
        </w:rPr>
        <w:t>:</w:t>
      </w:r>
    </w:p>
    <w:p w14:paraId="18A5117C" w14:textId="37620636" w:rsidR="009D1E79" w:rsidRPr="004F2E9B" w:rsidRDefault="009D1E79" w:rsidP="00030A38">
      <w:pPr>
        <w:numPr>
          <w:ilvl w:val="0"/>
          <w:numId w:val="30"/>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t>гармонізація вітчизняного законодавства з вимогами ЄС з метою стимулювання механізмів упровадження міжнародних стандартів ISO-9000, ISO14000 в Україні;</w:t>
      </w:r>
    </w:p>
    <w:p w14:paraId="0F9C8A48" w14:textId="469523A7" w:rsidR="009D1E79" w:rsidRPr="004F2E9B" w:rsidRDefault="009D1E79" w:rsidP="00030A38">
      <w:pPr>
        <w:numPr>
          <w:ilvl w:val="0"/>
          <w:numId w:val="30"/>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t>застосування заходів щодо вдосконалення і спрощення реєстраційних, сертифікаційних й адміністративних процедур щодо поширення екологічних стандартів;</w:t>
      </w:r>
    </w:p>
    <w:p w14:paraId="0371A388" w14:textId="39D5CA9D" w:rsidR="009D1E79" w:rsidRPr="004F2E9B" w:rsidRDefault="009D1E79" w:rsidP="00030A38">
      <w:pPr>
        <w:numPr>
          <w:ilvl w:val="0"/>
          <w:numId w:val="30"/>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t>розроблення відповідного законодавчо-регулюючого механізму відповідальності щодо впровадження систем екологічного менеджменту в Україні.</w:t>
      </w:r>
    </w:p>
    <w:p w14:paraId="399B54CD" w14:textId="59CACC3D" w:rsidR="009D1E79" w:rsidRPr="004F2E9B" w:rsidRDefault="009D1E79" w:rsidP="00030A38">
      <w:pPr>
        <w:numPr>
          <w:ilvl w:val="1"/>
          <w:numId w:val="31"/>
        </w:numPr>
        <w:adjustRightInd w:val="0"/>
        <w:snapToGrid w:val="0"/>
        <w:spacing w:after="0" w:line="240" w:lineRule="auto"/>
        <w:ind w:left="0" w:firstLine="567"/>
        <w:jc w:val="both"/>
        <w:rPr>
          <w:rFonts w:ascii="Times New Roman" w:hAnsi="Times New Roman" w:cs="Times New Roman"/>
          <w:bCs/>
          <w:sz w:val="20"/>
          <w:szCs w:val="20"/>
        </w:rPr>
      </w:pPr>
      <w:r w:rsidRPr="004F2E9B">
        <w:rPr>
          <w:rFonts w:ascii="Times New Roman" w:hAnsi="Times New Roman" w:cs="Times New Roman"/>
          <w:b/>
          <w:bCs/>
          <w:sz w:val="20"/>
          <w:szCs w:val="20"/>
        </w:rPr>
        <w:t>у сфері інституціоналізації державної політики розвитку систем екологічного менеджменту та екоаудиту в Україні</w:t>
      </w:r>
      <w:r w:rsidRPr="004F2E9B">
        <w:rPr>
          <w:rFonts w:ascii="Times New Roman" w:hAnsi="Times New Roman" w:cs="Times New Roman"/>
          <w:bCs/>
          <w:sz w:val="20"/>
          <w:szCs w:val="20"/>
        </w:rPr>
        <w:t>:</w:t>
      </w:r>
    </w:p>
    <w:p w14:paraId="1710FF63" w14:textId="540A2CE1" w:rsidR="009D1E79" w:rsidRPr="004F2E9B" w:rsidRDefault="009D1E79" w:rsidP="00030A38">
      <w:pPr>
        <w:numPr>
          <w:ilvl w:val="0"/>
          <w:numId w:val="30"/>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t>створення більш сприятливого політичного середовища для стимулювання й підтримки цього процесу (за рахунок мереж, кластерів тощо);</w:t>
      </w:r>
    </w:p>
    <w:p w14:paraId="02223450" w14:textId="0BCEB0B3" w:rsidR="009D1E79" w:rsidRPr="004F2E9B" w:rsidRDefault="009D1E79" w:rsidP="00030A38">
      <w:pPr>
        <w:numPr>
          <w:ilvl w:val="0"/>
          <w:numId w:val="30"/>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t>визначення чітких орієнтирів та цілей щодо імплементації екологічної стандартизації в планах національного розвитку, а також уточнення функцій захисту цих інтересів на урядовому, регіональному та місцевому рівнях;</w:t>
      </w:r>
    </w:p>
    <w:p w14:paraId="3418ED1F" w14:textId="135D89B0" w:rsidR="009D1E79" w:rsidRPr="004F2E9B" w:rsidRDefault="009D1E79" w:rsidP="00D878C2">
      <w:pPr>
        <w:numPr>
          <w:ilvl w:val="0"/>
          <w:numId w:val="30"/>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t>наділення місцевої та регіональної влади повноваженнями підтримки щодо прискорення та активізації впровадження стандартів екологічного менеджменту.</w:t>
      </w:r>
    </w:p>
    <w:p w14:paraId="3B4D7DF4" w14:textId="77777777" w:rsidR="009D1E79" w:rsidRPr="004F2E9B" w:rsidRDefault="009D1E79" w:rsidP="00030A38">
      <w:pPr>
        <w:numPr>
          <w:ilvl w:val="0"/>
          <w:numId w:val="29"/>
        </w:numPr>
        <w:adjustRightInd w:val="0"/>
        <w:snapToGrid w:val="0"/>
        <w:spacing w:after="0" w:line="240" w:lineRule="auto"/>
        <w:ind w:left="0" w:firstLine="567"/>
        <w:jc w:val="both"/>
        <w:rPr>
          <w:rFonts w:ascii="Times New Roman" w:hAnsi="Times New Roman" w:cs="Times New Roman"/>
          <w:bCs/>
          <w:sz w:val="20"/>
          <w:szCs w:val="20"/>
        </w:rPr>
      </w:pPr>
      <w:r w:rsidRPr="004F2E9B">
        <w:rPr>
          <w:rFonts w:ascii="Times New Roman" w:hAnsi="Times New Roman" w:cs="Times New Roman"/>
          <w:b/>
          <w:bCs/>
          <w:sz w:val="20"/>
          <w:szCs w:val="20"/>
        </w:rPr>
        <w:t>у сфері консалтингових послуг</w:t>
      </w:r>
      <w:r w:rsidRPr="004F2E9B">
        <w:rPr>
          <w:rFonts w:ascii="Times New Roman" w:hAnsi="Times New Roman" w:cs="Times New Roman"/>
          <w:bCs/>
          <w:sz w:val="20"/>
          <w:szCs w:val="20"/>
        </w:rPr>
        <w:t>:</w:t>
      </w:r>
    </w:p>
    <w:p w14:paraId="26E5BC41" w14:textId="0677E36E" w:rsidR="009D1E79" w:rsidRPr="004F2E9B" w:rsidRDefault="009D1E79" w:rsidP="00030A38">
      <w:pPr>
        <w:numPr>
          <w:ilvl w:val="1"/>
          <w:numId w:val="30"/>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t>створення відповідних консалтингових центрів;</w:t>
      </w:r>
    </w:p>
    <w:p w14:paraId="5673CF72" w14:textId="405CB92B" w:rsidR="009D1E79" w:rsidRPr="004F2E9B" w:rsidRDefault="009D1E79" w:rsidP="00030A38">
      <w:pPr>
        <w:numPr>
          <w:ilvl w:val="1"/>
          <w:numId w:val="30"/>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t>розроблення програм консалтингових послуг, адаптивних до місцевих потреб бізнесу;</w:t>
      </w:r>
    </w:p>
    <w:p w14:paraId="33EA2D58" w14:textId="40388807" w:rsidR="009D1E79" w:rsidRPr="004F2E9B" w:rsidRDefault="009D1E79" w:rsidP="00030A38">
      <w:pPr>
        <w:numPr>
          <w:ilvl w:val="1"/>
          <w:numId w:val="30"/>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t>налагодження координаційних дій щодо узгодження системи життєзабезпечення та якості довкілля.</w:t>
      </w:r>
    </w:p>
    <w:p w14:paraId="39DA5625" w14:textId="77777777" w:rsidR="009D1E79" w:rsidRPr="004F2E9B" w:rsidRDefault="009D1E79" w:rsidP="00030A38">
      <w:pPr>
        <w:numPr>
          <w:ilvl w:val="0"/>
          <w:numId w:val="29"/>
        </w:numPr>
        <w:adjustRightInd w:val="0"/>
        <w:snapToGrid w:val="0"/>
        <w:spacing w:after="0" w:line="240" w:lineRule="auto"/>
        <w:ind w:left="0" w:firstLine="567"/>
        <w:jc w:val="both"/>
        <w:rPr>
          <w:rFonts w:ascii="Times New Roman" w:hAnsi="Times New Roman" w:cs="Times New Roman"/>
          <w:bCs/>
          <w:sz w:val="20"/>
          <w:szCs w:val="20"/>
        </w:rPr>
      </w:pPr>
      <w:r w:rsidRPr="004F2E9B">
        <w:rPr>
          <w:rFonts w:ascii="Times New Roman" w:hAnsi="Times New Roman" w:cs="Times New Roman"/>
          <w:b/>
          <w:bCs/>
          <w:sz w:val="20"/>
          <w:szCs w:val="20"/>
        </w:rPr>
        <w:t>у сфері фінансової підтримки впровадження систем управління якістю довкілля</w:t>
      </w:r>
      <w:r w:rsidRPr="004F2E9B">
        <w:rPr>
          <w:rFonts w:ascii="Times New Roman" w:hAnsi="Times New Roman" w:cs="Times New Roman"/>
          <w:bCs/>
          <w:sz w:val="20"/>
          <w:szCs w:val="20"/>
        </w:rPr>
        <w:t>:</w:t>
      </w:r>
    </w:p>
    <w:p w14:paraId="0827A6BB" w14:textId="53C7537A" w:rsidR="009D1E79" w:rsidRPr="004F2E9B" w:rsidRDefault="009D1E79" w:rsidP="00030A38">
      <w:pPr>
        <w:numPr>
          <w:ilvl w:val="1"/>
          <w:numId w:val="30"/>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lastRenderedPageBreak/>
        <w:t>залучення банківських та комерційних структур;</w:t>
      </w:r>
    </w:p>
    <w:p w14:paraId="74340CE0" w14:textId="77777777" w:rsidR="009D1E79" w:rsidRPr="004F2E9B" w:rsidRDefault="009D1E79" w:rsidP="00030A38">
      <w:pPr>
        <w:numPr>
          <w:ilvl w:val="1"/>
          <w:numId w:val="30"/>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t>створення і розвиток ключових компонентів інфраструктури сектора фінансових послуг (у т. ч. кредитних ліній, лізингу тощо);</w:t>
      </w:r>
    </w:p>
    <w:p w14:paraId="0BDEEF61" w14:textId="72019262" w:rsidR="009D1E79" w:rsidRPr="004F2E9B" w:rsidRDefault="009D1E79" w:rsidP="00030A38">
      <w:pPr>
        <w:numPr>
          <w:ilvl w:val="1"/>
          <w:numId w:val="30"/>
        </w:numPr>
        <w:adjustRightInd w:val="0"/>
        <w:snapToGrid w:val="0"/>
        <w:spacing w:after="0" w:line="240" w:lineRule="auto"/>
        <w:ind w:left="0" w:firstLine="567"/>
        <w:jc w:val="both"/>
        <w:rPr>
          <w:rFonts w:ascii="Times New Roman" w:hAnsi="Times New Roman" w:cs="Times New Roman"/>
          <w:sz w:val="20"/>
          <w:szCs w:val="20"/>
        </w:rPr>
      </w:pPr>
      <w:r w:rsidRPr="004F2E9B">
        <w:rPr>
          <w:rFonts w:ascii="Times New Roman" w:hAnsi="Times New Roman" w:cs="Times New Roman"/>
          <w:sz w:val="20"/>
          <w:szCs w:val="20"/>
        </w:rPr>
        <w:t>створення фінансових інструментів для підтримки ініціатив щодо впровадження стандартів управління якості довкілля на місцевому та регіональному рівнях.</w:t>
      </w:r>
    </w:p>
    <w:p w14:paraId="0292156A" w14:textId="5F44CA4F" w:rsidR="009D1E79" w:rsidRPr="004F2E9B" w:rsidRDefault="00474FDE" w:rsidP="0012192B">
      <w:pPr>
        <w:adjustRightInd w:val="0"/>
        <w:snapToGrid w:val="0"/>
        <w:spacing w:after="0" w:line="240" w:lineRule="auto"/>
        <w:ind w:firstLine="567"/>
        <w:jc w:val="both"/>
        <w:rPr>
          <w:rFonts w:ascii="Times New Roman" w:hAnsi="Times New Roman" w:cs="Times New Roman"/>
          <w:sz w:val="20"/>
          <w:szCs w:val="20"/>
        </w:rPr>
      </w:pPr>
      <w:r w:rsidRPr="004F2E9B">
        <w:rPr>
          <w:rFonts w:ascii="Times New Roman" w:hAnsi="Times New Roman" w:cs="Times New Roman"/>
          <w:b/>
          <w:sz w:val="20"/>
          <w:szCs w:val="20"/>
        </w:rPr>
        <w:t xml:space="preserve">Ресурсоефективне </w:t>
      </w:r>
      <w:r w:rsidR="009D1E79" w:rsidRPr="004F2E9B">
        <w:rPr>
          <w:rFonts w:ascii="Times New Roman" w:hAnsi="Times New Roman" w:cs="Times New Roman"/>
          <w:b/>
          <w:sz w:val="20"/>
          <w:szCs w:val="20"/>
        </w:rPr>
        <w:t xml:space="preserve">та Більш </w:t>
      </w:r>
      <w:r w:rsidRPr="004F2E9B">
        <w:rPr>
          <w:rFonts w:ascii="Times New Roman" w:hAnsi="Times New Roman" w:cs="Times New Roman"/>
          <w:b/>
          <w:sz w:val="20"/>
          <w:szCs w:val="20"/>
        </w:rPr>
        <w:t>чисте виробництво</w:t>
      </w:r>
      <w:r w:rsidR="009D1E79" w:rsidRPr="004F2E9B">
        <w:rPr>
          <w:rFonts w:ascii="Times New Roman" w:hAnsi="Times New Roman" w:cs="Times New Roman"/>
          <w:b/>
          <w:sz w:val="20"/>
          <w:szCs w:val="20"/>
        </w:rPr>
        <w:t xml:space="preserve">. </w:t>
      </w:r>
      <w:r w:rsidR="009D1E79" w:rsidRPr="004F2E9B">
        <w:rPr>
          <w:rFonts w:ascii="Times New Roman" w:hAnsi="Times New Roman" w:cs="Times New Roman"/>
          <w:sz w:val="20"/>
          <w:szCs w:val="20"/>
        </w:rPr>
        <w:t>Концепція ресурсоефективного та більш чистого виробництва як засіб збалансованого регулювання економічного розвитку та захисту навколишнього природного середовища була сформульована міжнародною спільнотою в Порядку денному на XXI сторіччя. В основу Концепції покладено принцип більш чистого виробництва – такого способу виробництва, який впливає на довкілля менш негативно порівняно з традиційними технологіями. Перехід до екологічно безпечних та більш чистих виробництв сприятиме створенню передумов для узгодження національної політики у сфері реструктуризації, модернізації та розвитку секторів національної економіки та у сфері надання послуг з політикою охорони довкілля, раціонального використання природних ресурсів та поліпшення якості життя населення.</w:t>
      </w:r>
    </w:p>
    <w:p w14:paraId="644DBEBF" w14:textId="6A9D1B72" w:rsidR="009D1E79" w:rsidRPr="004F2E9B" w:rsidRDefault="009D1E79" w:rsidP="00474FDE">
      <w:pPr>
        <w:adjustRightInd w:val="0"/>
        <w:snapToGrid w:val="0"/>
        <w:spacing w:after="0" w:line="240" w:lineRule="auto"/>
        <w:ind w:firstLine="567"/>
        <w:jc w:val="both"/>
        <w:rPr>
          <w:rFonts w:ascii="Times New Roman" w:hAnsi="Times New Roman" w:cs="Times New Roman"/>
          <w:sz w:val="20"/>
          <w:szCs w:val="20"/>
        </w:rPr>
      </w:pPr>
      <w:r w:rsidRPr="004F2E9B">
        <w:rPr>
          <w:rFonts w:ascii="Times New Roman" w:hAnsi="Times New Roman" w:cs="Times New Roman"/>
          <w:sz w:val="20"/>
          <w:szCs w:val="20"/>
        </w:rPr>
        <w:t>Ресурсоефективне та чисте виробництво є одним з основних інструментів «зеленої» трансформації економіки, її зростання, покращення добробуту людей та зниження ризиків для навколишнього природного середовища.</w:t>
      </w:r>
    </w:p>
    <w:p w14:paraId="159B921C" w14:textId="7AA97979" w:rsidR="009D1E79" w:rsidRPr="004F2E9B" w:rsidRDefault="009D1E79" w:rsidP="0012192B">
      <w:pPr>
        <w:adjustRightInd w:val="0"/>
        <w:snapToGrid w:val="0"/>
        <w:spacing w:after="0" w:line="240" w:lineRule="auto"/>
        <w:ind w:firstLine="567"/>
        <w:jc w:val="both"/>
        <w:rPr>
          <w:rFonts w:ascii="Times New Roman" w:hAnsi="Times New Roman" w:cs="Times New Roman"/>
          <w:b/>
          <w:bCs/>
          <w:sz w:val="20"/>
          <w:szCs w:val="20"/>
        </w:rPr>
      </w:pPr>
      <w:r w:rsidRPr="004F2E9B">
        <w:rPr>
          <w:rFonts w:ascii="Times New Roman" w:hAnsi="Times New Roman" w:cs="Times New Roman"/>
          <w:b/>
          <w:bCs/>
          <w:sz w:val="20"/>
          <w:szCs w:val="20"/>
        </w:rPr>
        <w:t>головні цілі:</w:t>
      </w:r>
    </w:p>
    <w:p w14:paraId="0C410528" w14:textId="45CEC336" w:rsidR="009D1E79" w:rsidRPr="004F2E9B" w:rsidRDefault="009D1E79" w:rsidP="0012192B">
      <w:pPr>
        <w:adjustRightInd w:val="0"/>
        <w:snapToGrid w:val="0"/>
        <w:spacing w:after="0" w:line="240" w:lineRule="auto"/>
        <w:ind w:firstLine="567"/>
        <w:jc w:val="both"/>
        <w:rPr>
          <w:rFonts w:ascii="Times New Roman" w:hAnsi="Times New Roman" w:cs="Times New Roman"/>
          <w:sz w:val="20"/>
          <w:szCs w:val="20"/>
        </w:rPr>
      </w:pPr>
      <w:r w:rsidRPr="004F2E9B">
        <w:rPr>
          <w:rFonts w:ascii="Times New Roman" w:hAnsi="Times New Roman" w:cs="Times New Roman"/>
          <w:b/>
          <w:sz w:val="20"/>
          <w:szCs w:val="20"/>
        </w:rPr>
        <w:t xml:space="preserve">ефективне використання ресурсів </w:t>
      </w:r>
      <w:r w:rsidRPr="004F2E9B">
        <w:rPr>
          <w:rFonts w:ascii="Times New Roman" w:hAnsi="Times New Roman" w:cs="Times New Roman"/>
          <w:sz w:val="20"/>
          <w:szCs w:val="20"/>
        </w:rPr>
        <w:t>шляхом оптимізації споживання матеріалів, енергії та води на всіх етапах виробництва та підвищення його продуктивності, тобто зменшення кількості витрачених під час виробництва ресурсів на одиницю виготовлених товарів та послуг.</w:t>
      </w:r>
    </w:p>
    <w:p w14:paraId="356F7FDC" w14:textId="2823C995" w:rsidR="009D1E79" w:rsidRPr="004F2E9B" w:rsidRDefault="009D1E79" w:rsidP="0012192B">
      <w:pPr>
        <w:adjustRightInd w:val="0"/>
        <w:snapToGrid w:val="0"/>
        <w:spacing w:after="0" w:line="240" w:lineRule="auto"/>
        <w:ind w:firstLine="567"/>
        <w:jc w:val="both"/>
        <w:rPr>
          <w:rFonts w:ascii="Times New Roman" w:hAnsi="Times New Roman" w:cs="Times New Roman"/>
          <w:sz w:val="20"/>
          <w:szCs w:val="20"/>
        </w:rPr>
      </w:pPr>
      <w:r w:rsidRPr="004F2E9B">
        <w:rPr>
          <w:rFonts w:ascii="Times New Roman" w:hAnsi="Times New Roman" w:cs="Times New Roman"/>
          <w:b/>
          <w:sz w:val="20"/>
          <w:szCs w:val="20"/>
        </w:rPr>
        <w:t xml:space="preserve">Мінімізація впливу на довкілля </w:t>
      </w:r>
      <w:r w:rsidRPr="004F2E9B">
        <w:rPr>
          <w:rFonts w:ascii="Times New Roman" w:hAnsi="Times New Roman" w:cs="Times New Roman"/>
          <w:sz w:val="20"/>
          <w:szCs w:val="20"/>
        </w:rPr>
        <w:t>передбачає розроблення й реалізацію заходів та технічних рішень, що забезпечують скорочення обсягів викидів в атмосферу, утворення відходів, а також повернення відходів до виробничого циклу або використання як вторинних матеріалів, упровадження безстічних і водооборотних технологій.</w:t>
      </w:r>
    </w:p>
    <w:p w14:paraId="1188FAD5" w14:textId="1356861A" w:rsidR="009D1E79" w:rsidRPr="004F2E9B" w:rsidRDefault="009D1E79" w:rsidP="0012192B">
      <w:pPr>
        <w:adjustRightInd w:val="0"/>
        <w:snapToGrid w:val="0"/>
        <w:spacing w:after="0" w:line="240" w:lineRule="auto"/>
        <w:ind w:firstLine="567"/>
        <w:jc w:val="both"/>
        <w:rPr>
          <w:rFonts w:ascii="Times New Roman" w:hAnsi="Times New Roman" w:cs="Times New Roman"/>
          <w:sz w:val="20"/>
          <w:szCs w:val="20"/>
        </w:rPr>
      </w:pPr>
      <w:r w:rsidRPr="004F2E9B">
        <w:rPr>
          <w:rFonts w:ascii="Times New Roman" w:hAnsi="Times New Roman" w:cs="Times New Roman"/>
          <w:b/>
          <w:sz w:val="20"/>
          <w:szCs w:val="20"/>
        </w:rPr>
        <w:t>Покращення добробуту людей</w:t>
      </w:r>
      <w:r w:rsidRPr="004F2E9B">
        <w:rPr>
          <w:rFonts w:ascii="Times New Roman" w:hAnsi="Times New Roman" w:cs="Times New Roman"/>
          <w:sz w:val="20"/>
          <w:szCs w:val="20"/>
        </w:rPr>
        <w:t>, що виражається в мінімізації ризиків та дотриманні вимог економічної й екологічної безпеки (чисте довкілля, кращі умови праці тощо) та підтримці соціального розвитку.</w:t>
      </w:r>
    </w:p>
    <w:p w14:paraId="74CAECF3" w14:textId="00366112" w:rsidR="009D1E79" w:rsidRPr="00474FDE" w:rsidRDefault="009D1E79" w:rsidP="00474FDE">
      <w:pPr>
        <w:adjustRightInd w:val="0"/>
        <w:snapToGrid w:val="0"/>
        <w:spacing w:after="0" w:line="240" w:lineRule="auto"/>
        <w:ind w:firstLine="567"/>
        <w:jc w:val="both"/>
        <w:rPr>
          <w:rFonts w:ascii="Times New Roman" w:hAnsi="Times New Roman" w:cs="Times New Roman"/>
          <w:sz w:val="20"/>
          <w:szCs w:val="20"/>
        </w:rPr>
      </w:pPr>
      <w:r w:rsidRPr="00474FDE">
        <w:rPr>
          <w:rFonts w:ascii="Times New Roman" w:hAnsi="Times New Roman" w:cs="Times New Roman"/>
          <w:sz w:val="20"/>
          <w:szCs w:val="20"/>
        </w:rPr>
        <w:t>Стратегія</w:t>
      </w:r>
      <w:r w:rsidRPr="00474FDE">
        <w:rPr>
          <w:rFonts w:ascii="Times New Roman" w:hAnsi="Times New Roman" w:cs="Times New Roman"/>
          <w:b/>
          <w:sz w:val="20"/>
          <w:szCs w:val="20"/>
        </w:rPr>
        <w:t xml:space="preserve"> </w:t>
      </w:r>
      <w:r w:rsidRPr="00474FDE">
        <w:rPr>
          <w:rFonts w:ascii="Times New Roman" w:hAnsi="Times New Roman" w:cs="Times New Roman"/>
          <w:sz w:val="20"/>
          <w:szCs w:val="20"/>
        </w:rPr>
        <w:t xml:space="preserve">була розроблена департаментом «Технологія, індустріалізація й економіка» Програми ООН по навколишньому середовищу (UNEP) ще у 1989 році та одночасно зафіксована в Міжнародній декларації по чистому виробництву. UNEP визначає РЕЧВ як модель застосування інтегрованої стратегії запобігання забрудненню середовища щодо виробничих процесів, продукції і послуг, включаючи енергоспоживання та водоспоживання з метою скорочення  викидів  (скидів)  шкідливих речовин, обмеження створення </w:t>
      </w:r>
      <w:r w:rsidRPr="00474FDE">
        <w:rPr>
          <w:rFonts w:ascii="Times New Roman" w:hAnsi="Times New Roman" w:cs="Times New Roman"/>
          <w:sz w:val="20"/>
          <w:szCs w:val="20"/>
        </w:rPr>
        <w:lastRenderedPageBreak/>
        <w:t>відходів, мінімізації ризику здоров'ю людей і навколишньому природному середовищу.</w:t>
      </w:r>
    </w:p>
    <w:p w14:paraId="27F12BCD" w14:textId="1BAC1DA9" w:rsidR="009D1E79" w:rsidRPr="00474FDE" w:rsidRDefault="009D1E79" w:rsidP="0012192B">
      <w:pPr>
        <w:adjustRightInd w:val="0"/>
        <w:snapToGrid w:val="0"/>
        <w:spacing w:after="0" w:line="240" w:lineRule="auto"/>
        <w:ind w:firstLine="567"/>
        <w:jc w:val="both"/>
        <w:rPr>
          <w:rFonts w:ascii="Times New Roman" w:hAnsi="Times New Roman" w:cs="Times New Roman"/>
          <w:sz w:val="20"/>
          <w:szCs w:val="20"/>
        </w:rPr>
      </w:pPr>
      <w:r w:rsidRPr="00474FDE">
        <w:rPr>
          <w:rFonts w:ascii="Times New Roman" w:hAnsi="Times New Roman" w:cs="Times New Roman"/>
          <w:sz w:val="20"/>
          <w:szCs w:val="20"/>
        </w:rPr>
        <w:t>Таким чином, методика РЕЧВ, яка була розроблена ЮНЕП і ЮНІДО у вигляді комплексної превентивної екологічної стратегії щодо виробничих процесів, продуктів і послуг для підвищення ефективності виробництва та зниження ризиків для людини та навколишнього середовища, апробована та застосовується у світі вже понад 20 років.</w:t>
      </w:r>
    </w:p>
    <w:p w14:paraId="6A2A2552" w14:textId="34FA8F0C" w:rsidR="009D1E79" w:rsidRPr="00474FDE" w:rsidRDefault="009D1E79" w:rsidP="0012192B">
      <w:pPr>
        <w:adjustRightInd w:val="0"/>
        <w:snapToGrid w:val="0"/>
        <w:spacing w:after="0" w:line="240" w:lineRule="auto"/>
        <w:ind w:firstLine="567"/>
        <w:jc w:val="both"/>
        <w:rPr>
          <w:rFonts w:ascii="Times New Roman" w:hAnsi="Times New Roman" w:cs="Times New Roman"/>
          <w:sz w:val="20"/>
          <w:szCs w:val="20"/>
        </w:rPr>
      </w:pPr>
      <w:r w:rsidRPr="00474FDE">
        <w:rPr>
          <w:rFonts w:ascii="Times New Roman" w:hAnsi="Times New Roman" w:cs="Times New Roman"/>
          <w:sz w:val="20"/>
          <w:szCs w:val="20"/>
        </w:rPr>
        <w:t>В останнє десятиріччя розвинутими країнами світу в межах спільних проектів реалізовано цілу низку програм і заходів щодо впровадження ЕЧВ та поширення нових технологій у країнах з перехідною економікою.</w:t>
      </w:r>
    </w:p>
    <w:p w14:paraId="6DE6B06D" w14:textId="0B4E911C" w:rsidR="009D1E79" w:rsidRPr="00474FDE" w:rsidRDefault="009D1E79" w:rsidP="0012192B">
      <w:pPr>
        <w:adjustRightInd w:val="0"/>
        <w:snapToGrid w:val="0"/>
        <w:spacing w:after="0" w:line="240" w:lineRule="auto"/>
        <w:ind w:firstLine="567"/>
        <w:jc w:val="both"/>
        <w:rPr>
          <w:rFonts w:ascii="Times New Roman" w:hAnsi="Times New Roman" w:cs="Times New Roman"/>
          <w:sz w:val="20"/>
          <w:szCs w:val="20"/>
        </w:rPr>
      </w:pPr>
      <w:r w:rsidRPr="00474FDE">
        <w:rPr>
          <w:rFonts w:ascii="Times New Roman" w:hAnsi="Times New Roman" w:cs="Times New Roman"/>
          <w:sz w:val="20"/>
          <w:szCs w:val="20"/>
        </w:rPr>
        <w:t>Зарубіжний досвід упровадження ЕЧВ показує, що для успішного розвитку та реалізації програм РЕЧВ необхідні:</w:t>
      </w:r>
    </w:p>
    <w:p w14:paraId="460B262E" w14:textId="6021992A" w:rsidR="009D1E79" w:rsidRPr="00474FDE" w:rsidRDefault="009D1E79" w:rsidP="00030A38">
      <w:pPr>
        <w:numPr>
          <w:ilvl w:val="0"/>
          <w:numId w:val="28"/>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інституційні передумови державного та регіонального рівня;</w:t>
      </w:r>
    </w:p>
    <w:p w14:paraId="34C491CC" w14:textId="03FDD0BB" w:rsidR="009D1E79" w:rsidRPr="00474FDE" w:rsidRDefault="009D1E79" w:rsidP="00030A38">
      <w:pPr>
        <w:numPr>
          <w:ilvl w:val="0"/>
          <w:numId w:val="28"/>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широка інформаційна та рекламна підтримка;</w:t>
      </w:r>
    </w:p>
    <w:p w14:paraId="741A05D7" w14:textId="3B3D3BB3" w:rsidR="009D1E79" w:rsidRPr="00474FDE" w:rsidRDefault="009D1E79" w:rsidP="00030A38">
      <w:pPr>
        <w:numPr>
          <w:ilvl w:val="0"/>
          <w:numId w:val="28"/>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ефективний екологічний менеджмент;</w:t>
      </w:r>
    </w:p>
    <w:p w14:paraId="255EF4EE" w14:textId="37280A7C" w:rsidR="009D1E79" w:rsidRPr="00474FDE" w:rsidRDefault="009D1E79" w:rsidP="00030A38">
      <w:pPr>
        <w:numPr>
          <w:ilvl w:val="0"/>
          <w:numId w:val="28"/>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підтримка підприємницьких структур, що впроваджують ЕЧВ;</w:t>
      </w:r>
    </w:p>
    <w:p w14:paraId="46E7109F" w14:textId="16270354" w:rsidR="009D1E79" w:rsidRPr="00474FDE" w:rsidRDefault="009D1E79" w:rsidP="00030A38">
      <w:pPr>
        <w:numPr>
          <w:ilvl w:val="0"/>
          <w:numId w:val="28"/>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формування сприятливого зовнішнього середовища.</w:t>
      </w:r>
    </w:p>
    <w:p w14:paraId="29758C83" w14:textId="04463356" w:rsidR="009D1E79" w:rsidRPr="00474FDE" w:rsidRDefault="009D1E79" w:rsidP="0012192B">
      <w:pPr>
        <w:adjustRightInd w:val="0"/>
        <w:snapToGrid w:val="0"/>
        <w:spacing w:after="0" w:line="240" w:lineRule="auto"/>
        <w:ind w:firstLine="567"/>
        <w:jc w:val="both"/>
        <w:rPr>
          <w:rFonts w:ascii="Times New Roman" w:hAnsi="Times New Roman" w:cs="Times New Roman"/>
          <w:sz w:val="20"/>
          <w:szCs w:val="20"/>
        </w:rPr>
      </w:pPr>
      <w:r w:rsidRPr="00474FDE">
        <w:rPr>
          <w:rFonts w:ascii="Times New Roman" w:hAnsi="Times New Roman" w:cs="Times New Roman"/>
          <w:sz w:val="20"/>
          <w:szCs w:val="20"/>
        </w:rPr>
        <w:t xml:space="preserve">Особливо важлива інтеграція цілей ЕЧВ у державну та регіональну політику, зокрема підтримка екологічних інновацій, передусім таких, що передбачають добровільні екологічні угоди та програми, а також нові форми </w:t>
      </w:r>
      <w:r w:rsidRPr="00474FDE">
        <w:rPr>
          <w:rFonts w:ascii="Times New Roman" w:hAnsi="Times New Roman" w:cs="Times New Roman"/>
          <w:b/>
          <w:sz w:val="20"/>
          <w:szCs w:val="20"/>
        </w:rPr>
        <w:t>державно-приватного партнерства в екологічній сфері</w:t>
      </w:r>
      <w:r w:rsidRPr="00474FDE">
        <w:rPr>
          <w:rFonts w:ascii="Times New Roman" w:hAnsi="Times New Roman" w:cs="Times New Roman"/>
          <w:sz w:val="20"/>
          <w:szCs w:val="20"/>
        </w:rPr>
        <w:t>.</w:t>
      </w:r>
    </w:p>
    <w:p w14:paraId="11712D08" w14:textId="0C10E264" w:rsidR="009D1E79" w:rsidRPr="00474FDE" w:rsidRDefault="009D1E79" w:rsidP="00640C49">
      <w:pPr>
        <w:adjustRightInd w:val="0"/>
        <w:snapToGrid w:val="0"/>
        <w:spacing w:after="0" w:line="240" w:lineRule="auto"/>
        <w:ind w:firstLine="567"/>
        <w:jc w:val="both"/>
        <w:rPr>
          <w:rFonts w:ascii="Times New Roman" w:hAnsi="Times New Roman" w:cs="Times New Roman"/>
          <w:sz w:val="20"/>
          <w:szCs w:val="20"/>
        </w:rPr>
      </w:pPr>
      <w:r w:rsidRPr="00474FDE">
        <w:rPr>
          <w:rFonts w:ascii="Times New Roman" w:hAnsi="Times New Roman" w:cs="Times New Roman"/>
          <w:sz w:val="20"/>
          <w:szCs w:val="20"/>
        </w:rPr>
        <w:t>Необхідність розвитку, удосконалення й поширення застосування стратегії РЕЧВ в Україні зумовлені пріоритетами, визначеними в міжнародних документах, таких як: Конвенція ООН з навколишнього середовища та розвитку (1992), «Декларації тисячоліття» ООН (2000); документами Всесвітньої зустрічі на вищому рівні зі сталого розвитку в Йоганнесбурзі (2002), чинними Законами  України  «Про  пріоритетні</w:t>
      </w:r>
      <w:r w:rsidR="00640C49" w:rsidRPr="00474FDE">
        <w:rPr>
          <w:rFonts w:ascii="Times New Roman" w:hAnsi="Times New Roman" w:cs="Times New Roman"/>
          <w:sz w:val="20"/>
          <w:szCs w:val="20"/>
        </w:rPr>
        <w:t xml:space="preserve"> </w:t>
      </w:r>
      <w:r w:rsidRPr="00474FDE">
        <w:rPr>
          <w:rFonts w:ascii="Times New Roman" w:hAnsi="Times New Roman" w:cs="Times New Roman"/>
          <w:sz w:val="20"/>
          <w:szCs w:val="20"/>
        </w:rPr>
        <w:t>напрями розвитку науки і техніки» та «Про пріоритетні напрями розвитку інноваційної діяльності в Україні», рекомендаціями Постанови Верховної ради України «Про рекомендації парламентських слухань щодо дотримання вимог природоохоронного законодавства в Україні» (2003), зобов’язаннями України щодо виконання вимог Міжнародної декларації більш чистого виробництва, Угодою про асоціацію між Україною та ЄС тощо.</w:t>
      </w:r>
    </w:p>
    <w:p w14:paraId="3DD957F5" w14:textId="389F2174" w:rsidR="009D1E79" w:rsidRPr="00474FDE" w:rsidRDefault="009D1E79" w:rsidP="0012192B">
      <w:pPr>
        <w:adjustRightInd w:val="0"/>
        <w:snapToGrid w:val="0"/>
        <w:spacing w:after="0" w:line="240" w:lineRule="auto"/>
        <w:ind w:firstLine="567"/>
        <w:jc w:val="both"/>
        <w:rPr>
          <w:rFonts w:ascii="Times New Roman" w:hAnsi="Times New Roman" w:cs="Times New Roman"/>
          <w:sz w:val="20"/>
          <w:szCs w:val="20"/>
        </w:rPr>
      </w:pPr>
      <w:r w:rsidRPr="00474FDE">
        <w:rPr>
          <w:rFonts w:ascii="Times New Roman" w:hAnsi="Times New Roman" w:cs="Times New Roman"/>
          <w:sz w:val="20"/>
          <w:szCs w:val="20"/>
        </w:rPr>
        <w:t xml:space="preserve">Стратегія РЕЧВ </w:t>
      </w:r>
      <w:r w:rsidRPr="00474FDE">
        <w:rPr>
          <w:rFonts w:ascii="Times New Roman" w:hAnsi="Times New Roman" w:cs="Times New Roman"/>
          <w:b/>
          <w:sz w:val="20"/>
          <w:szCs w:val="20"/>
        </w:rPr>
        <w:t xml:space="preserve">визначає завдання, механізми формування державної політики екологізації економіки України </w:t>
      </w:r>
      <w:r w:rsidRPr="00474FDE">
        <w:rPr>
          <w:rFonts w:ascii="Times New Roman" w:hAnsi="Times New Roman" w:cs="Times New Roman"/>
          <w:sz w:val="20"/>
          <w:szCs w:val="20"/>
        </w:rPr>
        <w:t>та реалізації одного з найважливіших її напрямків – упровадження та розвитку більш чистих виробництв й екологічних технологій у промисловому, енергетичному, аграрному, транспортному, будівельному та інших секторах економіки, а також у сфері надання послуг.</w:t>
      </w:r>
    </w:p>
    <w:p w14:paraId="561039DA" w14:textId="208FC99D" w:rsidR="009D1E79" w:rsidRPr="00474FDE" w:rsidRDefault="009D1E79" w:rsidP="0012192B">
      <w:pPr>
        <w:adjustRightInd w:val="0"/>
        <w:snapToGrid w:val="0"/>
        <w:spacing w:after="0" w:line="240" w:lineRule="auto"/>
        <w:ind w:firstLine="567"/>
        <w:jc w:val="both"/>
        <w:rPr>
          <w:rFonts w:ascii="Times New Roman" w:hAnsi="Times New Roman" w:cs="Times New Roman"/>
          <w:sz w:val="20"/>
          <w:szCs w:val="20"/>
        </w:rPr>
      </w:pPr>
      <w:r w:rsidRPr="00474FDE">
        <w:rPr>
          <w:rFonts w:ascii="Times New Roman" w:hAnsi="Times New Roman" w:cs="Times New Roman"/>
          <w:sz w:val="20"/>
          <w:szCs w:val="20"/>
        </w:rPr>
        <w:t>Поширення ідеології РЕЧВ є реальним втіленням державою своїх конституційних зобов'язань перед громадянами, а саме с</w:t>
      </w:r>
      <w:r w:rsidRPr="00474FDE">
        <w:rPr>
          <w:rFonts w:ascii="Times New Roman" w:hAnsi="Times New Roman" w:cs="Times New Roman"/>
          <w:b/>
          <w:sz w:val="20"/>
          <w:szCs w:val="20"/>
        </w:rPr>
        <w:t>татті 16 конституції України</w:t>
      </w:r>
      <w:r w:rsidRPr="00474FDE">
        <w:rPr>
          <w:rFonts w:ascii="Times New Roman" w:hAnsi="Times New Roman" w:cs="Times New Roman"/>
          <w:sz w:val="20"/>
          <w:szCs w:val="20"/>
        </w:rPr>
        <w:t xml:space="preserve">: «Забезпечення екологічної безпеки і підтримання екологічної рівноваги на території України, подолання наслідків Чорнобильської </w:t>
      </w:r>
      <w:r w:rsidRPr="00474FDE">
        <w:rPr>
          <w:rFonts w:ascii="Times New Roman" w:hAnsi="Times New Roman" w:cs="Times New Roman"/>
          <w:sz w:val="20"/>
          <w:szCs w:val="20"/>
        </w:rPr>
        <w:lastRenderedPageBreak/>
        <w:t>катастрофи – катастрофи планетарного масштабу, збереження генофонду Українського народу є обов'язками держави».</w:t>
      </w:r>
    </w:p>
    <w:p w14:paraId="478856F5" w14:textId="1243A415" w:rsidR="009D1E79" w:rsidRPr="00474FDE" w:rsidRDefault="009D1E79" w:rsidP="0012192B">
      <w:pPr>
        <w:adjustRightInd w:val="0"/>
        <w:snapToGrid w:val="0"/>
        <w:spacing w:after="0" w:line="240" w:lineRule="auto"/>
        <w:ind w:firstLine="567"/>
        <w:jc w:val="both"/>
        <w:rPr>
          <w:rFonts w:ascii="Times New Roman" w:hAnsi="Times New Roman" w:cs="Times New Roman"/>
          <w:sz w:val="20"/>
          <w:szCs w:val="20"/>
        </w:rPr>
      </w:pPr>
      <w:r w:rsidRPr="00474FDE">
        <w:rPr>
          <w:rFonts w:ascii="Times New Roman" w:hAnsi="Times New Roman" w:cs="Times New Roman"/>
          <w:sz w:val="20"/>
          <w:szCs w:val="20"/>
        </w:rPr>
        <w:t>Національними</w:t>
      </w:r>
      <w:r w:rsidR="009C2BC3">
        <w:rPr>
          <w:rFonts w:ascii="Times New Roman" w:hAnsi="Times New Roman" w:cs="Times New Roman"/>
          <w:sz w:val="20"/>
          <w:szCs w:val="20"/>
        </w:rPr>
        <w:t xml:space="preserve"> </w:t>
      </w:r>
      <w:r w:rsidRPr="00474FDE">
        <w:rPr>
          <w:rFonts w:ascii="Times New Roman" w:hAnsi="Times New Roman" w:cs="Times New Roman"/>
          <w:sz w:val="20"/>
          <w:szCs w:val="20"/>
        </w:rPr>
        <w:t>пріоритетами України щодо впровадження та розвитку принципів більш чистих виробництв й екологічних технологій мають стати:</w:t>
      </w:r>
    </w:p>
    <w:p w14:paraId="547CCB05" w14:textId="3384FECD" w:rsidR="009D1E79" w:rsidRPr="00474FDE" w:rsidRDefault="009D1E79" w:rsidP="00030A38">
      <w:pPr>
        <w:numPr>
          <w:ilvl w:val="0"/>
          <w:numId w:val="27"/>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досягнення такого рівня показників ресурсота енергоємності, що забезпечують необхідний та достатній рівень національної безпеки й незалежності держави;</w:t>
      </w:r>
    </w:p>
    <w:p w14:paraId="52856CBC" w14:textId="77777777" w:rsidR="009D1E79" w:rsidRPr="00474FDE" w:rsidRDefault="009D1E79" w:rsidP="00030A38">
      <w:pPr>
        <w:numPr>
          <w:ilvl w:val="0"/>
          <w:numId w:val="27"/>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перехід на екологічно безпечні замінники традиційної сировини для промисловості;</w:t>
      </w:r>
    </w:p>
    <w:p w14:paraId="63A9540B" w14:textId="102FCB5A" w:rsidR="009D1E79" w:rsidRPr="00474FDE" w:rsidRDefault="009D1E79" w:rsidP="00030A38">
      <w:pPr>
        <w:numPr>
          <w:ilvl w:val="0"/>
          <w:numId w:val="27"/>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більш широке впровадження відновлювальних джерел енергії;</w:t>
      </w:r>
    </w:p>
    <w:p w14:paraId="720A0B7A" w14:textId="1498FD1C" w:rsidR="009D1E79" w:rsidRPr="00474FDE" w:rsidRDefault="009D1E79" w:rsidP="00030A38">
      <w:pPr>
        <w:numPr>
          <w:ilvl w:val="0"/>
          <w:numId w:val="27"/>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забезпечення стабільного соціально-економічного розвитку на основі раціонального використання, охорони та відновлення природно-ресурсного потенціалу;</w:t>
      </w:r>
    </w:p>
    <w:p w14:paraId="5BE25A0C" w14:textId="4C32E49A" w:rsidR="009D1E79" w:rsidRPr="00474FDE" w:rsidRDefault="009D1E79" w:rsidP="00030A38">
      <w:pPr>
        <w:numPr>
          <w:ilvl w:val="1"/>
          <w:numId w:val="27"/>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розвиток органічного землеробства;</w:t>
      </w:r>
    </w:p>
    <w:p w14:paraId="15A55295" w14:textId="4EBA8D2C" w:rsidR="009D1E79" w:rsidRPr="00474FDE" w:rsidRDefault="009D1E79" w:rsidP="00030A38">
      <w:pPr>
        <w:numPr>
          <w:ilvl w:val="1"/>
          <w:numId w:val="27"/>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удосконалення структури промислового виробництва, перебудова та поступове згортання екологічно шкідливих виробництв;</w:t>
      </w:r>
    </w:p>
    <w:p w14:paraId="025DD7E7" w14:textId="65C6C040" w:rsidR="009D1E79" w:rsidRPr="00474FDE" w:rsidRDefault="009D1E79" w:rsidP="00030A38">
      <w:pPr>
        <w:numPr>
          <w:ilvl w:val="1"/>
          <w:numId w:val="27"/>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екологічне управління, екологічна сертифікація та стандартизація якості продукції;</w:t>
      </w:r>
    </w:p>
    <w:p w14:paraId="65306E1D" w14:textId="6D4F7572" w:rsidR="009D1E79" w:rsidRPr="00474FDE" w:rsidRDefault="009D1E79" w:rsidP="00030A38">
      <w:pPr>
        <w:numPr>
          <w:ilvl w:val="1"/>
          <w:numId w:val="27"/>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стимулювання</w:t>
      </w:r>
      <w:r w:rsidR="009C2BC3">
        <w:rPr>
          <w:rFonts w:ascii="Times New Roman" w:hAnsi="Times New Roman" w:cs="Times New Roman"/>
          <w:sz w:val="20"/>
          <w:szCs w:val="20"/>
        </w:rPr>
        <w:t xml:space="preserve"> </w:t>
      </w:r>
      <w:r w:rsidRPr="00474FDE">
        <w:rPr>
          <w:rFonts w:ascii="Times New Roman" w:hAnsi="Times New Roman" w:cs="Times New Roman"/>
          <w:sz w:val="20"/>
          <w:szCs w:val="20"/>
        </w:rPr>
        <w:t>впровадження більш чистих екологічних технологій і систем виробництва, ресурсота енергозберігальних технологій, у тому числі – шляхом надання фінансової допомоги суб'єктам господарвання для їх упровадження;</w:t>
      </w:r>
    </w:p>
    <w:p w14:paraId="0DFD4D65" w14:textId="67AE03B6" w:rsidR="009D1E79" w:rsidRPr="00474FDE" w:rsidRDefault="009D1E79" w:rsidP="00030A38">
      <w:pPr>
        <w:numPr>
          <w:ilvl w:val="1"/>
          <w:numId w:val="27"/>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фундаментальні та прикладні дослідження, інжиніринг, науковотехнологічні розробки та інноваційне виробництво.</w:t>
      </w:r>
    </w:p>
    <w:p w14:paraId="498ED3AA" w14:textId="3841F574" w:rsidR="009D1E79" w:rsidRPr="00474FDE" w:rsidRDefault="009D1E79" w:rsidP="0012192B">
      <w:pPr>
        <w:adjustRightInd w:val="0"/>
        <w:snapToGrid w:val="0"/>
        <w:spacing w:after="0" w:line="240" w:lineRule="auto"/>
        <w:ind w:firstLine="567"/>
        <w:jc w:val="both"/>
        <w:rPr>
          <w:rFonts w:ascii="Times New Roman" w:hAnsi="Times New Roman" w:cs="Times New Roman"/>
          <w:sz w:val="20"/>
          <w:szCs w:val="20"/>
        </w:rPr>
      </w:pPr>
      <w:r w:rsidRPr="00474FDE">
        <w:rPr>
          <w:rFonts w:ascii="Times New Roman" w:hAnsi="Times New Roman" w:cs="Times New Roman"/>
          <w:sz w:val="20"/>
          <w:szCs w:val="20"/>
        </w:rPr>
        <w:t xml:space="preserve">Упровадження та розвиток більш чистих виробництв й екологічних технологій можуть бути здійснені </w:t>
      </w:r>
      <w:r w:rsidRPr="00474FDE">
        <w:rPr>
          <w:rFonts w:ascii="Times New Roman" w:hAnsi="Times New Roman" w:cs="Times New Roman"/>
          <w:b/>
          <w:sz w:val="20"/>
          <w:szCs w:val="20"/>
        </w:rPr>
        <w:t>за різними сценаріями</w:t>
      </w:r>
      <w:r w:rsidRPr="00474FDE">
        <w:rPr>
          <w:rFonts w:ascii="Times New Roman" w:hAnsi="Times New Roman" w:cs="Times New Roman"/>
          <w:sz w:val="20"/>
          <w:szCs w:val="20"/>
        </w:rPr>
        <w:t>, які відрізняються один від одного в основному глибиною відповідних змін у законодавчо-нормативній базі, науково-технологічному розвитку, спектром засобів економічного стимулювання та рівнем інституційної підтримки.</w:t>
      </w:r>
    </w:p>
    <w:p w14:paraId="6224AB9B" w14:textId="4AD21215" w:rsidR="009D1E79" w:rsidRPr="00474FDE" w:rsidRDefault="009D1E79" w:rsidP="00A6446B">
      <w:pPr>
        <w:adjustRightInd w:val="0"/>
        <w:snapToGrid w:val="0"/>
        <w:spacing w:after="0" w:line="240" w:lineRule="auto"/>
        <w:ind w:firstLine="567"/>
        <w:jc w:val="both"/>
        <w:rPr>
          <w:rFonts w:ascii="Times New Roman" w:hAnsi="Times New Roman" w:cs="Times New Roman"/>
          <w:sz w:val="20"/>
          <w:szCs w:val="20"/>
        </w:rPr>
      </w:pPr>
      <w:r w:rsidRPr="00474FDE">
        <w:rPr>
          <w:rFonts w:ascii="Times New Roman" w:hAnsi="Times New Roman" w:cs="Times New Roman"/>
          <w:sz w:val="20"/>
          <w:szCs w:val="20"/>
        </w:rPr>
        <w:t>Оптимальним з точки зору законодавчо-нормативного забезпечення є варіант, у якому в Україні буде повністю завершено реформування дозвільної системи відповідно до принципів інтегрованого попередження забруднення. Упровадження більш чистих виробництв і технологій у цьому випадку може здійснюватися шляхом науково-технологічного розвитку та через процедуру порівняння базових технічних рішень з</w:t>
      </w:r>
      <w:r w:rsidR="00A6446B">
        <w:rPr>
          <w:rFonts w:ascii="Times New Roman" w:hAnsi="Times New Roman" w:cs="Times New Roman"/>
          <w:sz w:val="20"/>
          <w:szCs w:val="20"/>
        </w:rPr>
        <w:t xml:space="preserve"> </w:t>
      </w:r>
      <w:r w:rsidRPr="00474FDE">
        <w:rPr>
          <w:rFonts w:ascii="Times New Roman" w:hAnsi="Times New Roman" w:cs="Times New Roman"/>
          <w:sz w:val="20"/>
          <w:szCs w:val="20"/>
        </w:rPr>
        <w:t xml:space="preserve">«найкращими доступними технологіями». Термін </w:t>
      </w:r>
      <w:r w:rsidRPr="00474FDE">
        <w:rPr>
          <w:rFonts w:ascii="Times New Roman" w:hAnsi="Times New Roman" w:cs="Times New Roman"/>
          <w:i/>
          <w:sz w:val="20"/>
          <w:szCs w:val="20"/>
        </w:rPr>
        <w:t xml:space="preserve">найкращі доступні технології </w:t>
      </w:r>
      <w:r w:rsidRPr="00474FDE">
        <w:rPr>
          <w:rFonts w:ascii="Times New Roman" w:hAnsi="Times New Roman" w:cs="Times New Roman"/>
          <w:sz w:val="20"/>
          <w:szCs w:val="20"/>
        </w:rPr>
        <w:t>(з англ. «best available techniques») набув</w:t>
      </w:r>
      <w:r w:rsidR="009C2BC3">
        <w:rPr>
          <w:rFonts w:ascii="Times New Roman" w:hAnsi="Times New Roman" w:cs="Times New Roman"/>
          <w:sz w:val="20"/>
          <w:szCs w:val="20"/>
        </w:rPr>
        <w:t xml:space="preserve"> </w:t>
      </w:r>
      <w:r w:rsidRPr="00474FDE">
        <w:rPr>
          <w:rFonts w:ascii="Times New Roman" w:hAnsi="Times New Roman" w:cs="Times New Roman"/>
          <w:sz w:val="20"/>
          <w:szCs w:val="20"/>
        </w:rPr>
        <w:t>особливого</w:t>
      </w:r>
      <w:r w:rsidR="009C2BC3">
        <w:rPr>
          <w:rFonts w:ascii="Times New Roman" w:hAnsi="Times New Roman" w:cs="Times New Roman"/>
          <w:sz w:val="20"/>
          <w:szCs w:val="20"/>
        </w:rPr>
        <w:t xml:space="preserve"> </w:t>
      </w:r>
      <w:r w:rsidRPr="00474FDE">
        <w:rPr>
          <w:rFonts w:ascii="Times New Roman" w:hAnsi="Times New Roman" w:cs="Times New Roman"/>
          <w:sz w:val="20"/>
          <w:szCs w:val="20"/>
        </w:rPr>
        <w:t>поширенн</w:t>
      </w:r>
      <w:r w:rsidR="00474FDE">
        <w:rPr>
          <w:rFonts w:ascii="Times New Roman" w:hAnsi="Times New Roman" w:cs="Times New Roman"/>
          <w:sz w:val="20"/>
          <w:szCs w:val="20"/>
        </w:rPr>
        <w:t xml:space="preserve">я </w:t>
      </w:r>
      <w:r w:rsidRPr="00474FDE">
        <w:rPr>
          <w:rFonts w:ascii="Times New Roman" w:hAnsi="Times New Roman" w:cs="Times New Roman"/>
          <w:sz w:val="20"/>
          <w:szCs w:val="20"/>
        </w:rPr>
        <w:t>після виходу Директиви 96/61/ЕС про комплексний</w:t>
      </w:r>
      <w:r w:rsidR="009C2BC3">
        <w:rPr>
          <w:rFonts w:ascii="Times New Roman" w:hAnsi="Times New Roman" w:cs="Times New Roman"/>
          <w:sz w:val="20"/>
          <w:szCs w:val="20"/>
        </w:rPr>
        <w:t xml:space="preserve"> </w:t>
      </w:r>
      <w:r w:rsidRPr="00474FDE">
        <w:rPr>
          <w:rFonts w:ascii="Times New Roman" w:hAnsi="Times New Roman" w:cs="Times New Roman"/>
          <w:sz w:val="20"/>
          <w:szCs w:val="20"/>
        </w:rPr>
        <w:t>контроль</w:t>
      </w:r>
      <w:r w:rsidR="00474FDE">
        <w:rPr>
          <w:rFonts w:ascii="Times New Roman" w:hAnsi="Times New Roman" w:cs="Times New Roman"/>
          <w:sz w:val="20"/>
          <w:szCs w:val="20"/>
        </w:rPr>
        <w:t xml:space="preserve"> </w:t>
      </w:r>
      <w:r w:rsidRPr="00474FDE">
        <w:rPr>
          <w:rFonts w:ascii="Times New Roman" w:hAnsi="Times New Roman" w:cs="Times New Roman"/>
          <w:sz w:val="20"/>
          <w:szCs w:val="20"/>
        </w:rPr>
        <w:t>та</w:t>
      </w:r>
      <w:r w:rsidR="00474FDE">
        <w:rPr>
          <w:rFonts w:ascii="Times New Roman" w:hAnsi="Times New Roman" w:cs="Times New Roman"/>
          <w:sz w:val="20"/>
          <w:szCs w:val="20"/>
        </w:rPr>
        <w:t xml:space="preserve"> </w:t>
      </w:r>
      <w:r w:rsidRPr="00474FDE">
        <w:rPr>
          <w:rFonts w:ascii="Times New Roman" w:hAnsi="Times New Roman" w:cs="Times New Roman"/>
          <w:sz w:val="20"/>
          <w:szCs w:val="20"/>
        </w:rPr>
        <w:t>відвернення</w:t>
      </w:r>
      <w:r w:rsidR="00474FDE">
        <w:rPr>
          <w:rFonts w:ascii="Times New Roman" w:hAnsi="Times New Roman" w:cs="Times New Roman"/>
          <w:sz w:val="20"/>
          <w:szCs w:val="20"/>
        </w:rPr>
        <w:t xml:space="preserve"> </w:t>
      </w:r>
      <w:r w:rsidRPr="00474FDE">
        <w:rPr>
          <w:rFonts w:ascii="Times New Roman" w:hAnsi="Times New Roman" w:cs="Times New Roman"/>
          <w:sz w:val="20"/>
          <w:szCs w:val="20"/>
        </w:rPr>
        <w:t>забруднення.</w:t>
      </w:r>
    </w:p>
    <w:p w14:paraId="33D837F2" w14:textId="77777777" w:rsidR="009D1E79" w:rsidRPr="00474FDE" w:rsidRDefault="009D1E79" w:rsidP="0012192B">
      <w:pPr>
        <w:adjustRightInd w:val="0"/>
        <w:snapToGrid w:val="0"/>
        <w:spacing w:after="0" w:line="240" w:lineRule="auto"/>
        <w:ind w:firstLine="567"/>
        <w:jc w:val="both"/>
        <w:rPr>
          <w:rFonts w:ascii="Times New Roman" w:hAnsi="Times New Roman" w:cs="Times New Roman"/>
          <w:sz w:val="20"/>
          <w:szCs w:val="20"/>
        </w:rPr>
      </w:pPr>
      <w:r w:rsidRPr="00474FDE">
        <w:rPr>
          <w:rFonts w:ascii="Times New Roman" w:hAnsi="Times New Roman" w:cs="Times New Roman"/>
          <w:sz w:val="20"/>
          <w:szCs w:val="20"/>
        </w:rPr>
        <w:t>Шляхами реалізації національних пріоритетів розвитку більш чистих виробництв й екологічних технологій в Україні є:</w:t>
      </w:r>
    </w:p>
    <w:p w14:paraId="04C1F853" w14:textId="78C3DCE5" w:rsidR="009D1E79" w:rsidRPr="00474FDE" w:rsidRDefault="009D1E79" w:rsidP="00030A38">
      <w:pPr>
        <w:numPr>
          <w:ilvl w:val="0"/>
          <w:numId w:val="27"/>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створення системи збалансованого управління розвитком виробництва, що стимулює охорону довкілля та забезпечує ефективне використання природних ресурсів;</w:t>
      </w:r>
    </w:p>
    <w:p w14:paraId="20603257" w14:textId="0CFE3DB2" w:rsidR="009D1E79" w:rsidRPr="00474FDE" w:rsidRDefault="009D1E79" w:rsidP="00030A38">
      <w:pPr>
        <w:numPr>
          <w:ilvl w:val="0"/>
          <w:numId w:val="27"/>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lastRenderedPageBreak/>
        <w:t>удосконалення механізму інтеграції екологічних чинників у стратегію економічного розвитку господарської діяльності, переходу до інтегрованого екологічного управління виробництвом;</w:t>
      </w:r>
    </w:p>
    <w:p w14:paraId="2577F133" w14:textId="10919CED" w:rsidR="009D1E79" w:rsidRPr="00474FDE" w:rsidRDefault="009D1E79" w:rsidP="00030A38">
      <w:pPr>
        <w:numPr>
          <w:ilvl w:val="0"/>
          <w:numId w:val="27"/>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поширення інформації про принципи (засади) більш чистих виробництв й екологічних технологій;</w:t>
      </w:r>
    </w:p>
    <w:p w14:paraId="056CF0D8" w14:textId="3D3DD99C" w:rsidR="009D1E79" w:rsidRPr="00474FDE" w:rsidRDefault="009D1E79" w:rsidP="00030A38">
      <w:pPr>
        <w:numPr>
          <w:ilvl w:val="0"/>
          <w:numId w:val="27"/>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розроблення та моніторинг економічних й екологічних показників розвитку виробництва;</w:t>
      </w:r>
    </w:p>
    <w:p w14:paraId="3F60549A" w14:textId="08D20147" w:rsidR="009D1E79" w:rsidRPr="00474FDE" w:rsidRDefault="009D1E79" w:rsidP="00030A38">
      <w:pPr>
        <w:numPr>
          <w:ilvl w:val="0"/>
          <w:numId w:val="27"/>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розробення та наближення екологічних нормативів забруднення довкілля та спеціального використання природних ресурсів до стандартів ЄС.</w:t>
      </w:r>
    </w:p>
    <w:p w14:paraId="6D9A7262" w14:textId="21B0DA81" w:rsidR="009D1E79" w:rsidRPr="00474FDE" w:rsidRDefault="009D1E79" w:rsidP="0012192B">
      <w:pPr>
        <w:adjustRightInd w:val="0"/>
        <w:snapToGrid w:val="0"/>
        <w:spacing w:after="0" w:line="240" w:lineRule="auto"/>
        <w:ind w:firstLine="567"/>
        <w:jc w:val="both"/>
        <w:rPr>
          <w:rFonts w:ascii="Times New Roman" w:hAnsi="Times New Roman" w:cs="Times New Roman"/>
          <w:sz w:val="20"/>
          <w:szCs w:val="20"/>
        </w:rPr>
      </w:pPr>
      <w:r w:rsidRPr="00474FDE">
        <w:rPr>
          <w:rFonts w:ascii="Times New Roman" w:hAnsi="Times New Roman" w:cs="Times New Roman"/>
          <w:sz w:val="20"/>
          <w:szCs w:val="20"/>
        </w:rPr>
        <w:t>У зв’язку з вищезазначеним, пріоритетними заходами реалізації національних пріоритетів розвитку більш чистих виробництв й екологічних технологій є:</w:t>
      </w:r>
    </w:p>
    <w:p w14:paraId="5922FCA8" w14:textId="4BA346F3" w:rsidR="009D1E79" w:rsidRPr="00474FDE" w:rsidRDefault="009D1E79" w:rsidP="00030A38">
      <w:pPr>
        <w:numPr>
          <w:ilvl w:val="0"/>
          <w:numId w:val="30"/>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зменшення негативного впливу продукції на рівень життєдіяльності людини, а також на довкілля впродовж усього її життєвого циклу (від проектування устаткування та обладнання до використання та утилізації, перероблення, знешкодження або захоронення її відходів) шляхом змін самої продукції та поводження з нею для зменшення кількості відходів, що утворюються в результаті її виробництва, використання та утилізації;</w:t>
      </w:r>
    </w:p>
    <w:p w14:paraId="2E4397F8" w14:textId="2C3BC322" w:rsidR="009D1E79" w:rsidRPr="00474FDE" w:rsidRDefault="009D1E79" w:rsidP="00030A38">
      <w:pPr>
        <w:numPr>
          <w:ilvl w:val="0"/>
          <w:numId w:val="30"/>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оптимізація виробництва з метою зменшення обсягів споживання сировини, матеріалів та енергоносіїв, рециклінгу та повнішого використання матеріалів і сировини;</w:t>
      </w:r>
    </w:p>
    <w:p w14:paraId="7229BDE3" w14:textId="0BB9AD9F" w:rsidR="009D1E79" w:rsidRPr="00474FDE" w:rsidRDefault="009D1E79" w:rsidP="00030A38">
      <w:pPr>
        <w:numPr>
          <w:ilvl w:val="0"/>
          <w:numId w:val="30"/>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невикористання або мінімізація використання чи вилучення токсичних матеріалів, речовин і зменшення</w:t>
      </w:r>
    </w:p>
    <w:p w14:paraId="6DC8E0FB" w14:textId="77777777" w:rsidR="009D1E79" w:rsidRPr="00474FDE" w:rsidRDefault="009D1E79" w:rsidP="0012192B">
      <w:pPr>
        <w:adjustRightInd w:val="0"/>
        <w:snapToGrid w:val="0"/>
        <w:spacing w:after="0" w:line="240" w:lineRule="auto"/>
        <w:ind w:firstLine="567"/>
        <w:jc w:val="both"/>
        <w:rPr>
          <w:rFonts w:ascii="Times New Roman" w:hAnsi="Times New Roman" w:cs="Times New Roman"/>
          <w:sz w:val="20"/>
          <w:szCs w:val="20"/>
        </w:rPr>
      </w:pPr>
      <w:r w:rsidRPr="00474FDE">
        <w:rPr>
          <w:rFonts w:ascii="Times New Roman" w:hAnsi="Times New Roman" w:cs="Times New Roman"/>
          <w:sz w:val="20"/>
          <w:szCs w:val="20"/>
        </w:rPr>
        <w:t>обсягів усіх видів викидів і скидів та утворення відходів на рівні джерела їх виникнення шляхом зміни сировини й технологій;</w:t>
      </w:r>
    </w:p>
    <w:p w14:paraId="4E6BEABA" w14:textId="6D465E10" w:rsidR="009D1E79" w:rsidRPr="00474FDE" w:rsidRDefault="009D1E79" w:rsidP="00030A38">
      <w:pPr>
        <w:numPr>
          <w:ilvl w:val="1"/>
          <w:numId w:val="30"/>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розв'язання екологічних проблем з урахуванням життєвого циклу продукції;</w:t>
      </w:r>
    </w:p>
    <w:p w14:paraId="1D18D0FE" w14:textId="17AC2704" w:rsidR="009D1E79" w:rsidRPr="00474FDE" w:rsidRDefault="009D1E79" w:rsidP="00030A38">
      <w:pPr>
        <w:numPr>
          <w:ilvl w:val="1"/>
          <w:numId w:val="30"/>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врахування екологічних показників і нормативів у технічних регламентах і стандартах;</w:t>
      </w:r>
    </w:p>
    <w:p w14:paraId="5C165792" w14:textId="6C5C9564" w:rsidR="009D1E79" w:rsidRPr="00474FDE" w:rsidRDefault="009D1E79" w:rsidP="00030A38">
      <w:pPr>
        <w:numPr>
          <w:ilvl w:val="1"/>
          <w:numId w:val="30"/>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запровадження екологічної сертифікації виробництв, екологічних стандартів якості та екологічного маркування продукції;</w:t>
      </w:r>
    </w:p>
    <w:p w14:paraId="602A57D3" w14:textId="3388919F" w:rsidR="009D1E79" w:rsidRPr="00474FDE" w:rsidRDefault="009D1E79" w:rsidP="00030A38">
      <w:pPr>
        <w:numPr>
          <w:ilvl w:val="1"/>
          <w:numId w:val="30"/>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упровадження системи менеджменту щодо якості та охорони навколишнього природного середовища.</w:t>
      </w:r>
    </w:p>
    <w:p w14:paraId="5378270C" w14:textId="65EACBAD" w:rsidR="009D1E79" w:rsidRPr="00474FDE" w:rsidRDefault="009D1E79" w:rsidP="0012192B">
      <w:pPr>
        <w:adjustRightInd w:val="0"/>
        <w:snapToGrid w:val="0"/>
        <w:spacing w:after="0" w:line="240" w:lineRule="auto"/>
        <w:ind w:firstLine="567"/>
        <w:jc w:val="both"/>
        <w:rPr>
          <w:rFonts w:ascii="Times New Roman" w:hAnsi="Times New Roman" w:cs="Times New Roman"/>
          <w:sz w:val="20"/>
          <w:szCs w:val="20"/>
        </w:rPr>
      </w:pPr>
      <w:r w:rsidRPr="00474FDE">
        <w:rPr>
          <w:rFonts w:ascii="Times New Roman" w:hAnsi="Times New Roman" w:cs="Times New Roman"/>
          <w:sz w:val="20"/>
          <w:szCs w:val="20"/>
        </w:rPr>
        <w:t>Незважаючи на одночасний екологічний та економічний ефект і позитивний досвід реалізації більш чистого екологічного виробництва в розвинутих країнах світу, ефективність упровадження їх в Україні залежить від розв'язання проблем:</w:t>
      </w:r>
    </w:p>
    <w:p w14:paraId="437ED8B1" w14:textId="2206307C" w:rsidR="009D1E79" w:rsidRPr="00474FDE" w:rsidRDefault="009D1E79" w:rsidP="00030A38">
      <w:pPr>
        <w:numPr>
          <w:ilvl w:val="1"/>
          <w:numId w:val="27"/>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подолання міжвідомчих суперечностей у питаннях раціонального використання природних ресурсів і запобігання забрудненню довкілля;</w:t>
      </w:r>
    </w:p>
    <w:p w14:paraId="744BD644" w14:textId="46439513" w:rsidR="009D1E79" w:rsidRPr="00474FDE" w:rsidRDefault="009D1E79" w:rsidP="00030A38">
      <w:pPr>
        <w:numPr>
          <w:ilvl w:val="1"/>
          <w:numId w:val="27"/>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удосконалення нормативно-правового забезпечення з питань стимулювання зменшення забруднення довкілля та раціонального використання природних ресурсів;</w:t>
      </w:r>
    </w:p>
    <w:p w14:paraId="1C67D1FC" w14:textId="77777777" w:rsidR="009D1E79" w:rsidRPr="00474FDE" w:rsidRDefault="009D1E79" w:rsidP="00030A38">
      <w:pPr>
        <w:numPr>
          <w:ilvl w:val="1"/>
          <w:numId w:val="27"/>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lastRenderedPageBreak/>
        <w:t>розроблення та введення в дію економічного механізму заохочування виробників щодо впровадження більш чистого екологічного виробництва.</w:t>
      </w:r>
    </w:p>
    <w:p w14:paraId="55EF7DF2" w14:textId="7E8AFB01" w:rsidR="009D1E79" w:rsidRPr="00474FDE" w:rsidRDefault="009D1E79" w:rsidP="0012192B">
      <w:pPr>
        <w:adjustRightInd w:val="0"/>
        <w:snapToGrid w:val="0"/>
        <w:spacing w:after="0" w:line="240" w:lineRule="auto"/>
        <w:ind w:firstLine="567"/>
        <w:jc w:val="both"/>
        <w:rPr>
          <w:rFonts w:ascii="Times New Roman" w:hAnsi="Times New Roman" w:cs="Times New Roman"/>
          <w:sz w:val="20"/>
          <w:szCs w:val="20"/>
        </w:rPr>
      </w:pPr>
      <w:r w:rsidRPr="00474FDE">
        <w:rPr>
          <w:rFonts w:ascii="Times New Roman" w:hAnsi="Times New Roman" w:cs="Times New Roman"/>
          <w:sz w:val="20"/>
          <w:szCs w:val="20"/>
        </w:rPr>
        <w:t>Розвиток більш чистих виробництв й екологічних технологій в Україні може бути успішним тільки за умови налагодження широкого міжнародного співробітництва у цій сфері, що передбачає:</w:t>
      </w:r>
    </w:p>
    <w:p w14:paraId="5FBF9F1A" w14:textId="77777777" w:rsidR="009D1E79" w:rsidRPr="00474FDE" w:rsidRDefault="009D1E79" w:rsidP="00030A38">
      <w:pPr>
        <w:numPr>
          <w:ilvl w:val="1"/>
          <w:numId w:val="30"/>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доступ до міжнародного досвіду впровадження чистих виробництв й екологічних технологій;</w:t>
      </w:r>
    </w:p>
    <w:p w14:paraId="5547A1C1" w14:textId="756B0C7E" w:rsidR="009D1E79" w:rsidRPr="00474FDE" w:rsidRDefault="009D1E79" w:rsidP="00030A38">
      <w:pPr>
        <w:numPr>
          <w:ilvl w:val="1"/>
          <w:numId w:val="30"/>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належне співробітництво з національними та міжнародними центрами та інституціями у сфері поширення засад чистого виробництва й екологічних технологій;</w:t>
      </w:r>
    </w:p>
    <w:p w14:paraId="23267745" w14:textId="0797F22F" w:rsidR="009D1E79" w:rsidRPr="00474FDE" w:rsidRDefault="009D1E79" w:rsidP="00474FDE">
      <w:pPr>
        <w:numPr>
          <w:ilvl w:val="1"/>
          <w:numId w:val="30"/>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приєднання</w:t>
      </w:r>
      <w:r w:rsidR="009C2BC3">
        <w:rPr>
          <w:rFonts w:ascii="Times New Roman" w:hAnsi="Times New Roman" w:cs="Times New Roman"/>
          <w:sz w:val="20"/>
          <w:szCs w:val="20"/>
        </w:rPr>
        <w:t xml:space="preserve"> </w:t>
      </w:r>
      <w:r w:rsidRPr="00474FDE">
        <w:rPr>
          <w:rFonts w:ascii="Times New Roman" w:hAnsi="Times New Roman" w:cs="Times New Roman"/>
          <w:sz w:val="20"/>
          <w:szCs w:val="20"/>
        </w:rPr>
        <w:t>України</w:t>
      </w:r>
      <w:r w:rsidR="009C2BC3">
        <w:rPr>
          <w:rFonts w:ascii="Times New Roman" w:hAnsi="Times New Roman" w:cs="Times New Roman"/>
          <w:sz w:val="20"/>
          <w:szCs w:val="20"/>
        </w:rPr>
        <w:t xml:space="preserve"> </w:t>
      </w:r>
      <w:r w:rsidRPr="00474FDE">
        <w:rPr>
          <w:rFonts w:ascii="Times New Roman" w:hAnsi="Times New Roman" w:cs="Times New Roman"/>
          <w:sz w:val="20"/>
          <w:szCs w:val="20"/>
        </w:rPr>
        <w:t>до Міжнародної   мережі   національних</w:t>
      </w:r>
      <w:r w:rsidR="00474FDE">
        <w:rPr>
          <w:rFonts w:ascii="Times New Roman" w:hAnsi="Times New Roman" w:cs="Times New Roman"/>
          <w:sz w:val="20"/>
          <w:szCs w:val="20"/>
        </w:rPr>
        <w:t xml:space="preserve"> </w:t>
      </w:r>
      <w:r w:rsidRPr="00474FDE">
        <w:rPr>
          <w:rFonts w:ascii="Times New Roman" w:hAnsi="Times New Roman" w:cs="Times New Roman"/>
          <w:sz w:val="20"/>
          <w:szCs w:val="20"/>
        </w:rPr>
        <w:t>центрів</w:t>
      </w:r>
      <w:r w:rsidR="009C2BC3">
        <w:rPr>
          <w:rFonts w:ascii="Times New Roman" w:hAnsi="Times New Roman" w:cs="Times New Roman"/>
          <w:sz w:val="20"/>
          <w:szCs w:val="20"/>
        </w:rPr>
        <w:t xml:space="preserve"> </w:t>
      </w:r>
      <w:r w:rsidRPr="00474FDE">
        <w:rPr>
          <w:rFonts w:ascii="Times New Roman" w:hAnsi="Times New Roman" w:cs="Times New Roman"/>
          <w:sz w:val="20"/>
          <w:szCs w:val="20"/>
        </w:rPr>
        <w:t>більш</w:t>
      </w:r>
      <w:r w:rsidR="009C2BC3">
        <w:rPr>
          <w:rFonts w:ascii="Times New Roman" w:hAnsi="Times New Roman" w:cs="Times New Roman"/>
          <w:sz w:val="20"/>
          <w:szCs w:val="20"/>
        </w:rPr>
        <w:t xml:space="preserve"> </w:t>
      </w:r>
      <w:r w:rsidRPr="00474FDE">
        <w:rPr>
          <w:rFonts w:ascii="Times New Roman" w:hAnsi="Times New Roman" w:cs="Times New Roman"/>
          <w:sz w:val="20"/>
          <w:szCs w:val="20"/>
        </w:rPr>
        <w:t>чистого</w:t>
      </w:r>
      <w:r w:rsidR="009C2BC3">
        <w:rPr>
          <w:rFonts w:ascii="Times New Roman" w:hAnsi="Times New Roman" w:cs="Times New Roman"/>
          <w:sz w:val="20"/>
          <w:szCs w:val="20"/>
        </w:rPr>
        <w:t xml:space="preserve"> </w:t>
      </w:r>
      <w:r w:rsidRPr="00474FDE">
        <w:rPr>
          <w:rFonts w:ascii="Times New Roman" w:hAnsi="Times New Roman" w:cs="Times New Roman"/>
          <w:sz w:val="20"/>
          <w:szCs w:val="20"/>
        </w:rPr>
        <w:t>виробництва ЮНІДО/ЮНЕП;</w:t>
      </w:r>
    </w:p>
    <w:p w14:paraId="15BA6431" w14:textId="77777777" w:rsidR="009D1E79" w:rsidRPr="00474FDE" w:rsidRDefault="009D1E79" w:rsidP="00030A38">
      <w:pPr>
        <w:numPr>
          <w:ilvl w:val="0"/>
          <w:numId w:val="30"/>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участь у міжнародних програмах і проектах з більш чистих виробництв й екологічних технологій;</w:t>
      </w:r>
    </w:p>
    <w:p w14:paraId="2AA26246" w14:textId="1C633FCA" w:rsidR="009D1E79" w:rsidRPr="00474FDE" w:rsidRDefault="009D1E79" w:rsidP="00030A38">
      <w:pPr>
        <w:numPr>
          <w:ilvl w:val="0"/>
          <w:numId w:val="30"/>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поступове наближення до міжнародних стандартів і стандартів, норм і вимог держав-членів ЄС, що регламентують використання природних ресурсів та техногенний вплив на навколишнє середовище;</w:t>
      </w:r>
    </w:p>
    <w:p w14:paraId="32A0F34B" w14:textId="77777777" w:rsidR="009D1E79" w:rsidRPr="00474FDE" w:rsidRDefault="009D1E79" w:rsidP="00030A38">
      <w:pPr>
        <w:numPr>
          <w:ilvl w:val="0"/>
          <w:numId w:val="30"/>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 xml:space="preserve">залучення в Україну інвестицій для </w:t>
      </w:r>
      <w:r w:rsidRPr="00474FDE">
        <w:rPr>
          <w:rFonts w:ascii="Times New Roman" w:hAnsi="Times New Roman" w:cs="Times New Roman"/>
          <w:b/>
          <w:sz w:val="20"/>
          <w:szCs w:val="20"/>
        </w:rPr>
        <w:t>трансферу чистого виробництва й екологічних технологій</w:t>
      </w:r>
      <w:r w:rsidRPr="00474FDE">
        <w:rPr>
          <w:rFonts w:ascii="Times New Roman" w:hAnsi="Times New Roman" w:cs="Times New Roman"/>
          <w:sz w:val="20"/>
          <w:szCs w:val="20"/>
        </w:rPr>
        <w:t>;</w:t>
      </w:r>
    </w:p>
    <w:p w14:paraId="00BB4F6D" w14:textId="6D791C87" w:rsidR="009D1E79" w:rsidRPr="00474FDE" w:rsidRDefault="009D1E79" w:rsidP="00474FDE">
      <w:pPr>
        <w:numPr>
          <w:ilvl w:val="0"/>
          <w:numId w:val="30"/>
        </w:numPr>
        <w:adjustRightInd w:val="0"/>
        <w:snapToGrid w:val="0"/>
        <w:spacing w:after="0" w:line="240" w:lineRule="auto"/>
        <w:ind w:left="0" w:firstLine="567"/>
        <w:jc w:val="both"/>
        <w:rPr>
          <w:rFonts w:ascii="Times New Roman" w:hAnsi="Times New Roman" w:cs="Times New Roman"/>
          <w:sz w:val="20"/>
          <w:szCs w:val="20"/>
        </w:rPr>
      </w:pPr>
      <w:r w:rsidRPr="00474FDE">
        <w:rPr>
          <w:rFonts w:ascii="Times New Roman" w:hAnsi="Times New Roman" w:cs="Times New Roman"/>
          <w:sz w:val="20"/>
          <w:szCs w:val="20"/>
        </w:rPr>
        <w:t>здійснення пілотних та демонстраційних проектів з метою демонстрації реальної економічної та екологічної ефективності впровадження більш чистих виробництв й екологічних технологій;</w:t>
      </w:r>
    </w:p>
    <w:p w14:paraId="2CE2C1FF" w14:textId="5A485AE1" w:rsidR="009D1E79" w:rsidRPr="00601D5B" w:rsidRDefault="009D1E79" w:rsidP="0012192B">
      <w:pPr>
        <w:adjustRightInd w:val="0"/>
        <w:snapToGrid w:val="0"/>
        <w:spacing w:after="0" w:line="240" w:lineRule="auto"/>
        <w:ind w:firstLine="567"/>
        <w:jc w:val="both"/>
        <w:rPr>
          <w:rFonts w:ascii="Times New Roman" w:hAnsi="Times New Roman" w:cs="Times New Roman"/>
          <w:sz w:val="20"/>
          <w:szCs w:val="20"/>
        </w:rPr>
      </w:pPr>
      <w:r w:rsidRPr="00474FDE">
        <w:rPr>
          <w:rFonts w:ascii="Times New Roman" w:hAnsi="Times New Roman" w:cs="Times New Roman"/>
          <w:sz w:val="20"/>
          <w:szCs w:val="20"/>
        </w:rPr>
        <w:t xml:space="preserve">Групування технологій за спроможністю до розв’язання цих проблем </w:t>
      </w:r>
      <w:r w:rsidRPr="00601D5B">
        <w:rPr>
          <w:rFonts w:ascii="Times New Roman" w:hAnsi="Times New Roman" w:cs="Times New Roman"/>
          <w:sz w:val="20"/>
          <w:szCs w:val="20"/>
        </w:rPr>
        <w:t>показане в таблиці 6.1.</w:t>
      </w:r>
    </w:p>
    <w:p w14:paraId="31E35392" w14:textId="5C8BA01F" w:rsidR="00601D5B" w:rsidRPr="00601D5B" w:rsidRDefault="009D1E79" w:rsidP="00601D5B">
      <w:pPr>
        <w:adjustRightInd w:val="0"/>
        <w:snapToGrid w:val="0"/>
        <w:spacing w:after="0" w:line="240" w:lineRule="auto"/>
        <w:ind w:firstLine="567"/>
        <w:jc w:val="both"/>
        <w:rPr>
          <w:rFonts w:ascii="Times New Roman" w:hAnsi="Times New Roman" w:cs="Times New Roman"/>
          <w:sz w:val="20"/>
          <w:szCs w:val="20"/>
        </w:rPr>
      </w:pPr>
      <w:r w:rsidRPr="00601D5B">
        <w:rPr>
          <w:rFonts w:ascii="Times New Roman" w:hAnsi="Times New Roman" w:cs="Times New Roman"/>
          <w:sz w:val="20"/>
          <w:szCs w:val="20"/>
        </w:rPr>
        <w:t>Варто мати на увазі, що новітні чисті технології – це, як правило, не</w:t>
      </w:r>
      <w:r w:rsidR="00601D5B" w:rsidRPr="00601D5B">
        <w:rPr>
          <w:rFonts w:ascii="Times New Roman" w:hAnsi="Times New Roman" w:cs="Times New Roman"/>
          <w:sz w:val="20"/>
          <w:szCs w:val="20"/>
        </w:rPr>
        <w:t xml:space="preserve"> окремі технологічні рішення, а комплексні системи, що охоплюють системи управління, бізнес-моделі, технологічні інновації, створення ринків під них.</w:t>
      </w:r>
    </w:p>
    <w:p w14:paraId="4778BC23" w14:textId="2748C2A8" w:rsidR="009D1E79" w:rsidRDefault="00601D5B" w:rsidP="00601D5B">
      <w:pPr>
        <w:adjustRightInd w:val="0"/>
        <w:snapToGrid w:val="0"/>
        <w:spacing w:after="0" w:line="240" w:lineRule="auto"/>
        <w:ind w:firstLine="567"/>
        <w:jc w:val="both"/>
        <w:rPr>
          <w:rFonts w:ascii="Times New Roman" w:hAnsi="Times New Roman" w:cs="Times New Roman"/>
          <w:sz w:val="20"/>
          <w:szCs w:val="20"/>
        </w:rPr>
      </w:pPr>
      <w:r w:rsidRPr="00601D5B">
        <w:rPr>
          <w:rFonts w:ascii="Times New Roman" w:hAnsi="Times New Roman" w:cs="Times New Roman"/>
          <w:sz w:val="20"/>
          <w:szCs w:val="20"/>
        </w:rPr>
        <w:t>Формування й реалізація дієвої та ефективної політики впровадження й розвитку більш чистих виробництв й екологічних технологій повинні ґрунтуватися на підготовці кадрів з високим рівнем екологічної свідомості та культури на основі нових критеріїв оцінки взаємовідносин між суспільством і природою, процесів його життєдіяльності та стану довкілля.</w:t>
      </w:r>
    </w:p>
    <w:p w14:paraId="351FADFE" w14:textId="77777777" w:rsidR="00732FA2" w:rsidRPr="00C37F1C" w:rsidRDefault="00732FA2" w:rsidP="00732FA2">
      <w:pPr>
        <w:adjustRightInd w:val="0"/>
        <w:snapToGrid w:val="0"/>
        <w:spacing w:after="0" w:line="240" w:lineRule="auto"/>
        <w:ind w:firstLine="567"/>
        <w:jc w:val="both"/>
        <w:rPr>
          <w:rFonts w:ascii="Times New Roman" w:hAnsi="Times New Roman" w:cs="Times New Roman"/>
          <w:sz w:val="20"/>
          <w:szCs w:val="20"/>
        </w:rPr>
      </w:pPr>
      <w:r w:rsidRPr="009F6390">
        <w:rPr>
          <w:rFonts w:ascii="Times New Roman" w:hAnsi="Times New Roman" w:cs="Times New Roman"/>
          <w:sz w:val="20"/>
          <w:szCs w:val="20"/>
        </w:rPr>
        <w:t>Екологічна та еколого-економічна освіта повинна спрямовуватися на формування екологічної культури громадян, екологізацію навчальних дисциплін і програм підготовки фахівців, а також на професійну екологічну підготовку та перепідготовку кадрів, які мають бути залучені до вирішення стратегічних та поточних завдань упровадження та розвитку більш чистих виробництв й екологічних технологій</w:t>
      </w:r>
      <w:r w:rsidRPr="00C37F1C">
        <w:rPr>
          <w:rFonts w:ascii="Times New Roman" w:hAnsi="Times New Roman" w:cs="Times New Roman"/>
          <w:sz w:val="20"/>
          <w:szCs w:val="20"/>
        </w:rPr>
        <w:t>.</w:t>
      </w:r>
    </w:p>
    <w:p w14:paraId="21FAFF45" w14:textId="77777777" w:rsidR="00732FA2" w:rsidRDefault="00732FA2" w:rsidP="00601D5B">
      <w:pPr>
        <w:adjustRightInd w:val="0"/>
        <w:snapToGrid w:val="0"/>
        <w:spacing w:after="0" w:line="240" w:lineRule="auto"/>
        <w:ind w:firstLine="567"/>
        <w:jc w:val="both"/>
        <w:rPr>
          <w:rFonts w:ascii="Times New Roman" w:hAnsi="Times New Roman" w:cs="Times New Roman"/>
          <w:sz w:val="20"/>
          <w:szCs w:val="20"/>
        </w:rPr>
      </w:pPr>
    </w:p>
    <w:p w14:paraId="0E2B76D1" w14:textId="77777777" w:rsidR="00CD4B47" w:rsidRDefault="00CD4B47" w:rsidP="00601D5B">
      <w:pPr>
        <w:adjustRightInd w:val="0"/>
        <w:snapToGrid w:val="0"/>
        <w:spacing w:after="0" w:line="240" w:lineRule="auto"/>
        <w:ind w:firstLine="567"/>
        <w:jc w:val="both"/>
        <w:rPr>
          <w:rFonts w:ascii="Times New Roman" w:hAnsi="Times New Roman" w:cs="Times New Roman"/>
          <w:sz w:val="20"/>
          <w:szCs w:val="20"/>
        </w:rPr>
      </w:pPr>
    </w:p>
    <w:p w14:paraId="433276CC" w14:textId="77777777" w:rsidR="00CD4B47" w:rsidRDefault="00CD4B47" w:rsidP="00601D5B">
      <w:pPr>
        <w:adjustRightInd w:val="0"/>
        <w:snapToGrid w:val="0"/>
        <w:spacing w:after="0" w:line="240" w:lineRule="auto"/>
        <w:ind w:firstLine="567"/>
        <w:jc w:val="both"/>
        <w:rPr>
          <w:rFonts w:ascii="Times New Roman" w:hAnsi="Times New Roman" w:cs="Times New Roman"/>
          <w:sz w:val="20"/>
          <w:szCs w:val="20"/>
        </w:rPr>
      </w:pPr>
    </w:p>
    <w:p w14:paraId="791746A3" w14:textId="77777777" w:rsidR="00CD4B47" w:rsidRPr="00601D5B" w:rsidRDefault="00CD4B47" w:rsidP="00601D5B">
      <w:pPr>
        <w:adjustRightInd w:val="0"/>
        <w:snapToGrid w:val="0"/>
        <w:spacing w:after="0" w:line="240" w:lineRule="auto"/>
        <w:ind w:firstLine="567"/>
        <w:jc w:val="both"/>
        <w:rPr>
          <w:rFonts w:ascii="Times New Roman" w:hAnsi="Times New Roman" w:cs="Times New Roman"/>
          <w:sz w:val="20"/>
          <w:szCs w:val="20"/>
        </w:rPr>
      </w:pPr>
    </w:p>
    <w:p w14:paraId="30ED6EC7" w14:textId="77777777" w:rsidR="00732FA2" w:rsidRDefault="00732FA2" w:rsidP="00943D70">
      <w:pPr>
        <w:adjustRightInd w:val="0"/>
        <w:snapToGrid w:val="0"/>
        <w:spacing w:after="0" w:line="240" w:lineRule="auto"/>
        <w:ind w:firstLine="567"/>
        <w:jc w:val="right"/>
        <w:rPr>
          <w:rFonts w:ascii="Times New Roman" w:hAnsi="Times New Roman" w:cs="Times New Roman"/>
          <w:b/>
          <w:bCs/>
          <w:sz w:val="20"/>
          <w:szCs w:val="20"/>
        </w:rPr>
      </w:pPr>
    </w:p>
    <w:p w14:paraId="7DD67393" w14:textId="0D6DBDFB" w:rsidR="009D1E79" w:rsidRPr="00CD4B47" w:rsidRDefault="009D1E79" w:rsidP="00943D70">
      <w:pPr>
        <w:adjustRightInd w:val="0"/>
        <w:snapToGrid w:val="0"/>
        <w:spacing w:after="0" w:line="240" w:lineRule="auto"/>
        <w:ind w:firstLine="567"/>
        <w:jc w:val="right"/>
        <w:rPr>
          <w:rFonts w:ascii="Times New Roman" w:hAnsi="Times New Roman" w:cs="Times New Roman"/>
          <w:sz w:val="20"/>
          <w:szCs w:val="20"/>
        </w:rPr>
      </w:pPr>
      <w:r w:rsidRPr="00CD4B47">
        <w:rPr>
          <w:rFonts w:ascii="Times New Roman" w:hAnsi="Times New Roman" w:cs="Times New Roman"/>
          <w:sz w:val="20"/>
          <w:szCs w:val="20"/>
        </w:rPr>
        <w:lastRenderedPageBreak/>
        <w:t>Таблиця 6.1</w:t>
      </w:r>
    </w:p>
    <w:p w14:paraId="157CD583" w14:textId="6DBDD0FD" w:rsidR="009D1E79" w:rsidRPr="00CD4B47" w:rsidRDefault="00601D5B" w:rsidP="00601D5B">
      <w:pPr>
        <w:adjustRightInd w:val="0"/>
        <w:snapToGrid w:val="0"/>
        <w:spacing w:after="0" w:line="240" w:lineRule="auto"/>
        <w:ind w:firstLine="567"/>
        <w:jc w:val="both"/>
        <w:rPr>
          <w:rFonts w:ascii="Times New Roman" w:hAnsi="Times New Roman" w:cs="Times New Roman"/>
          <w:sz w:val="20"/>
          <w:szCs w:val="20"/>
        </w:rPr>
      </w:pPr>
      <w:r w:rsidRPr="00CD4B47">
        <w:rPr>
          <w:rFonts w:ascii="Times New Roman" w:hAnsi="Times New Roman" w:cs="Times New Roman"/>
          <w:sz w:val="20"/>
          <w:szCs w:val="20"/>
        </w:rPr>
        <w:t>Групування чистих технологій за ступенем розв’язання екологічних проблем</w:t>
      </w:r>
    </w:p>
    <w:p w14:paraId="75CA0150" w14:textId="77777777" w:rsidR="00601D5B" w:rsidRPr="00943D70" w:rsidRDefault="00601D5B" w:rsidP="00601D5B">
      <w:pPr>
        <w:adjustRightInd w:val="0"/>
        <w:snapToGrid w:val="0"/>
        <w:spacing w:after="0" w:line="240" w:lineRule="auto"/>
        <w:ind w:firstLine="567"/>
        <w:jc w:val="both"/>
        <w:rPr>
          <w:rFonts w:ascii="Times New Roman" w:hAnsi="Times New Roman" w:cs="Times New Roman"/>
          <w:b/>
          <w:bCs/>
          <w:sz w:val="20"/>
          <w:szCs w:val="20"/>
        </w:rPr>
      </w:pPr>
    </w:p>
    <w:tbl>
      <w:tblPr>
        <w:tblW w:w="4849" w:type="pct"/>
        <w:tblBorders>
          <w:top w:val="single" w:sz="18" w:space="0" w:color="007B3A"/>
          <w:left w:val="single" w:sz="18" w:space="0" w:color="007B3A"/>
          <w:bottom w:val="single" w:sz="18" w:space="0" w:color="007B3A"/>
          <w:right w:val="single" w:sz="18" w:space="0" w:color="007B3A"/>
          <w:insideH w:val="single" w:sz="18" w:space="0" w:color="007B3A"/>
          <w:insideV w:val="single" w:sz="18" w:space="0" w:color="007B3A"/>
        </w:tblBorders>
        <w:tblCellMar>
          <w:left w:w="0" w:type="dxa"/>
          <w:right w:w="0" w:type="dxa"/>
        </w:tblCellMar>
        <w:tblLook w:val="01E0" w:firstRow="1" w:lastRow="1" w:firstColumn="1" w:lastColumn="1" w:noHBand="0" w:noVBand="0"/>
      </w:tblPr>
      <w:tblGrid>
        <w:gridCol w:w="1783"/>
        <w:gridCol w:w="4659"/>
      </w:tblGrid>
      <w:tr w:rsidR="009D1E79" w:rsidRPr="00601D5B" w14:paraId="65FA4F98" w14:textId="77777777" w:rsidTr="00601D5B">
        <w:trPr>
          <w:trHeight w:val="1148"/>
        </w:trPr>
        <w:tc>
          <w:tcPr>
            <w:tcW w:w="1384" w:type="pct"/>
            <w:tcBorders>
              <w:bottom w:val="single" w:sz="4" w:space="0" w:color="000000"/>
              <w:right w:val="single" w:sz="4" w:space="0" w:color="000000"/>
            </w:tcBorders>
          </w:tcPr>
          <w:p w14:paraId="7117BE15" w14:textId="77777777" w:rsidR="009D1E79" w:rsidRPr="00601D5B" w:rsidRDefault="009D1E79" w:rsidP="00601D5B">
            <w:pPr>
              <w:adjustRightInd w:val="0"/>
              <w:snapToGrid w:val="0"/>
              <w:spacing w:after="0" w:line="240" w:lineRule="auto"/>
              <w:jc w:val="both"/>
              <w:rPr>
                <w:rFonts w:ascii="Times New Roman" w:hAnsi="Times New Roman" w:cs="Times New Roman"/>
                <w:sz w:val="20"/>
                <w:szCs w:val="20"/>
              </w:rPr>
            </w:pPr>
            <w:r w:rsidRPr="00601D5B">
              <w:rPr>
                <w:rFonts w:ascii="Times New Roman" w:hAnsi="Times New Roman" w:cs="Times New Roman"/>
                <w:sz w:val="20"/>
                <w:szCs w:val="20"/>
              </w:rPr>
              <w:t>Технології боротьби з викидами</w:t>
            </w:r>
          </w:p>
        </w:tc>
        <w:tc>
          <w:tcPr>
            <w:tcW w:w="3616" w:type="pct"/>
            <w:tcBorders>
              <w:left w:val="single" w:sz="4" w:space="0" w:color="000000"/>
              <w:bottom w:val="single" w:sz="4" w:space="0" w:color="000000"/>
            </w:tcBorders>
          </w:tcPr>
          <w:p w14:paraId="36E40E03" w14:textId="2D605D81" w:rsidR="009D1E79" w:rsidRPr="00601D5B" w:rsidRDefault="009D1E79" w:rsidP="00601D5B">
            <w:pPr>
              <w:adjustRightInd w:val="0"/>
              <w:snapToGrid w:val="0"/>
              <w:spacing w:after="0" w:line="240" w:lineRule="auto"/>
              <w:jc w:val="both"/>
              <w:rPr>
                <w:rFonts w:ascii="Times New Roman" w:hAnsi="Times New Roman" w:cs="Times New Roman"/>
                <w:sz w:val="20"/>
                <w:szCs w:val="20"/>
              </w:rPr>
            </w:pPr>
            <w:r w:rsidRPr="00601D5B">
              <w:rPr>
                <w:rFonts w:ascii="Times New Roman" w:hAnsi="Times New Roman" w:cs="Times New Roman"/>
                <w:sz w:val="20"/>
                <w:szCs w:val="20"/>
              </w:rPr>
              <w:t>– мінімізують накопичення забруднювальних речовин по всьому циклу виробництва і споживання (збір забруднювальних речовин та їх нейтралізація, поглинання двоокису вуглецю тощо)</w:t>
            </w:r>
          </w:p>
        </w:tc>
      </w:tr>
      <w:tr w:rsidR="009D1E79" w:rsidRPr="00601D5B" w14:paraId="509C45EF" w14:textId="77777777" w:rsidTr="00601D5B">
        <w:trPr>
          <w:trHeight w:val="1181"/>
        </w:trPr>
        <w:tc>
          <w:tcPr>
            <w:tcW w:w="1384" w:type="pct"/>
            <w:tcBorders>
              <w:top w:val="single" w:sz="4" w:space="0" w:color="000000"/>
              <w:bottom w:val="single" w:sz="4" w:space="0" w:color="000000"/>
              <w:right w:val="single" w:sz="4" w:space="0" w:color="000000"/>
            </w:tcBorders>
          </w:tcPr>
          <w:p w14:paraId="4ECC7780" w14:textId="77777777" w:rsidR="009D1E79" w:rsidRPr="00601D5B" w:rsidRDefault="009D1E79" w:rsidP="00601D5B">
            <w:pPr>
              <w:adjustRightInd w:val="0"/>
              <w:snapToGrid w:val="0"/>
              <w:spacing w:after="0" w:line="240" w:lineRule="auto"/>
              <w:jc w:val="both"/>
              <w:rPr>
                <w:rFonts w:ascii="Times New Roman" w:hAnsi="Times New Roman" w:cs="Times New Roman"/>
                <w:sz w:val="20"/>
                <w:szCs w:val="20"/>
              </w:rPr>
            </w:pPr>
            <w:r w:rsidRPr="00601D5B">
              <w:rPr>
                <w:rFonts w:ascii="Times New Roman" w:hAnsi="Times New Roman" w:cs="Times New Roman"/>
                <w:sz w:val="20"/>
                <w:szCs w:val="20"/>
              </w:rPr>
              <w:t>Технології профілактики</w:t>
            </w:r>
          </w:p>
        </w:tc>
        <w:tc>
          <w:tcPr>
            <w:tcW w:w="3616" w:type="pct"/>
            <w:tcBorders>
              <w:top w:val="single" w:sz="4" w:space="0" w:color="000000"/>
              <w:left w:val="single" w:sz="4" w:space="0" w:color="000000"/>
              <w:bottom w:val="single" w:sz="4" w:space="0" w:color="000000"/>
            </w:tcBorders>
          </w:tcPr>
          <w:p w14:paraId="151137F4" w14:textId="5513D6BC" w:rsidR="009D1E79" w:rsidRPr="00601D5B" w:rsidRDefault="009D1E79" w:rsidP="00601D5B">
            <w:pPr>
              <w:adjustRightInd w:val="0"/>
              <w:snapToGrid w:val="0"/>
              <w:spacing w:after="0" w:line="240" w:lineRule="auto"/>
              <w:jc w:val="both"/>
              <w:rPr>
                <w:rFonts w:ascii="Times New Roman" w:hAnsi="Times New Roman" w:cs="Times New Roman"/>
                <w:sz w:val="20"/>
                <w:szCs w:val="20"/>
              </w:rPr>
            </w:pPr>
            <w:r w:rsidRPr="00601D5B">
              <w:rPr>
                <w:rFonts w:ascii="Times New Roman" w:hAnsi="Times New Roman" w:cs="Times New Roman"/>
                <w:sz w:val="20"/>
                <w:szCs w:val="20"/>
              </w:rPr>
              <w:t>– спрямовані на скорочення неефективних витрат матеріалів, енергії або води (енергоефективні освітлення та двигуни, економічні автомобілі та більш чисті технології виробництва)</w:t>
            </w:r>
          </w:p>
        </w:tc>
      </w:tr>
      <w:tr w:rsidR="009D1E79" w:rsidRPr="00601D5B" w14:paraId="146469A4" w14:textId="77777777" w:rsidTr="00601D5B">
        <w:trPr>
          <w:trHeight w:val="1181"/>
        </w:trPr>
        <w:tc>
          <w:tcPr>
            <w:tcW w:w="1384" w:type="pct"/>
            <w:tcBorders>
              <w:top w:val="single" w:sz="4" w:space="0" w:color="000000"/>
              <w:bottom w:val="single" w:sz="4" w:space="0" w:color="000000"/>
              <w:right w:val="single" w:sz="4" w:space="0" w:color="000000"/>
            </w:tcBorders>
          </w:tcPr>
          <w:p w14:paraId="1633C7CE" w14:textId="77777777" w:rsidR="009D1E79" w:rsidRPr="00601D5B" w:rsidRDefault="009D1E79" w:rsidP="00601D5B">
            <w:pPr>
              <w:adjustRightInd w:val="0"/>
              <w:snapToGrid w:val="0"/>
              <w:spacing w:after="0" w:line="240" w:lineRule="auto"/>
              <w:jc w:val="both"/>
              <w:rPr>
                <w:rFonts w:ascii="Times New Roman" w:hAnsi="Times New Roman" w:cs="Times New Roman"/>
                <w:sz w:val="20"/>
                <w:szCs w:val="20"/>
              </w:rPr>
            </w:pPr>
            <w:r w:rsidRPr="00601D5B">
              <w:rPr>
                <w:rFonts w:ascii="Times New Roman" w:hAnsi="Times New Roman" w:cs="Times New Roman"/>
                <w:sz w:val="20"/>
                <w:szCs w:val="20"/>
              </w:rPr>
              <w:t>Заміщувальні технології</w:t>
            </w:r>
          </w:p>
        </w:tc>
        <w:tc>
          <w:tcPr>
            <w:tcW w:w="3616" w:type="pct"/>
            <w:tcBorders>
              <w:top w:val="single" w:sz="4" w:space="0" w:color="000000"/>
              <w:left w:val="single" w:sz="4" w:space="0" w:color="000000"/>
              <w:bottom w:val="single" w:sz="4" w:space="0" w:color="000000"/>
            </w:tcBorders>
          </w:tcPr>
          <w:p w14:paraId="5B84E57A" w14:textId="64EFF9B9" w:rsidR="009D1E79" w:rsidRPr="00601D5B" w:rsidRDefault="009D1E79" w:rsidP="00601D5B">
            <w:pPr>
              <w:adjustRightInd w:val="0"/>
              <w:snapToGrid w:val="0"/>
              <w:spacing w:after="0" w:line="240" w:lineRule="auto"/>
              <w:jc w:val="both"/>
              <w:rPr>
                <w:rFonts w:ascii="Times New Roman" w:hAnsi="Times New Roman" w:cs="Times New Roman"/>
                <w:sz w:val="20"/>
                <w:szCs w:val="20"/>
              </w:rPr>
            </w:pPr>
            <w:r w:rsidRPr="00601D5B">
              <w:rPr>
                <w:rFonts w:ascii="Times New Roman" w:hAnsi="Times New Roman" w:cs="Times New Roman"/>
                <w:sz w:val="20"/>
                <w:szCs w:val="20"/>
              </w:rPr>
              <w:t>– заміщення проміжних ресурсів для виробництва і споживання товарів (фотоелектричні системи, вітряки, виробництво біопалива)</w:t>
            </w:r>
          </w:p>
        </w:tc>
      </w:tr>
      <w:tr w:rsidR="009D1E79" w:rsidRPr="00601D5B" w14:paraId="7153E04E" w14:textId="77777777" w:rsidTr="00601D5B">
        <w:trPr>
          <w:trHeight w:val="818"/>
        </w:trPr>
        <w:tc>
          <w:tcPr>
            <w:tcW w:w="1384" w:type="pct"/>
            <w:tcBorders>
              <w:top w:val="single" w:sz="4" w:space="0" w:color="000000"/>
              <w:bottom w:val="single" w:sz="4" w:space="0" w:color="000000"/>
              <w:right w:val="single" w:sz="4" w:space="0" w:color="000000"/>
            </w:tcBorders>
          </w:tcPr>
          <w:p w14:paraId="6B3576C4" w14:textId="77777777" w:rsidR="009D1E79" w:rsidRPr="00601D5B" w:rsidRDefault="009D1E79" w:rsidP="00601D5B">
            <w:pPr>
              <w:adjustRightInd w:val="0"/>
              <w:snapToGrid w:val="0"/>
              <w:spacing w:after="0" w:line="240" w:lineRule="auto"/>
              <w:jc w:val="both"/>
              <w:rPr>
                <w:rFonts w:ascii="Times New Roman" w:hAnsi="Times New Roman" w:cs="Times New Roman"/>
                <w:sz w:val="20"/>
                <w:szCs w:val="20"/>
              </w:rPr>
            </w:pPr>
            <w:r w:rsidRPr="00601D5B">
              <w:rPr>
                <w:rFonts w:ascii="Times New Roman" w:hAnsi="Times New Roman" w:cs="Times New Roman"/>
                <w:sz w:val="20"/>
                <w:szCs w:val="20"/>
              </w:rPr>
              <w:t>Зберігальні технології</w:t>
            </w:r>
          </w:p>
        </w:tc>
        <w:tc>
          <w:tcPr>
            <w:tcW w:w="3616" w:type="pct"/>
            <w:tcBorders>
              <w:top w:val="single" w:sz="4" w:space="0" w:color="000000"/>
              <w:left w:val="single" w:sz="4" w:space="0" w:color="000000"/>
              <w:bottom w:val="single" w:sz="4" w:space="0" w:color="000000"/>
            </w:tcBorders>
          </w:tcPr>
          <w:p w14:paraId="7D1A3443" w14:textId="77777777" w:rsidR="009D1E79" w:rsidRPr="00601D5B" w:rsidRDefault="009D1E79" w:rsidP="00601D5B">
            <w:pPr>
              <w:adjustRightInd w:val="0"/>
              <w:snapToGrid w:val="0"/>
              <w:spacing w:after="0" w:line="240" w:lineRule="auto"/>
              <w:jc w:val="both"/>
              <w:rPr>
                <w:rFonts w:ascii="Times New Roman" w:hAnsi="Times New Roman" w:cs="Times New Roman"/>
                <w:sz w:val="20"/>
                <w:szCs w:val="20"/>
              </w:rPr>
            </w:pPr>
            <w:r w:rsidRPr="00601D5B">
              <w:rPr>
                <w:rFonts w:ascii="Times New Roman" w:hAnsi="Times New Roman" w:cs="Times New Roman"/>
                <w:sz w:val="20"/>
                <w:szCs w:val="20"/>
              </w:rPr>
              <w:t>– технології, що зберігають природу та екосистеми – методи управління водорозділами, лісами, водно-болотними угіддями</w:t>
            </w:r>
          </w:p>
        </w:tc>
      </w:tr>
      <w:tr w:rsidR="009D1E79" w:rsidRPr="00601D5B" w14:paraId="0FE6DD2A" w14:textId="77777777" w:rsidTr="00A31B4A">
        <w:trPr>
          <w:trHeight w:val="1151"/>
        </w:trPr>
        <w:tc>
          <w:tcPr>
            <w:tcW w:w="1384" w:type="pct"/>
            <w:tcBorders>
              <w:top w:val="single" w:sz="4" w:space="0" w:color="000000"/>
              <w:bottom w:val="single" w:sz="4" w:space="0" w:color="000000"/>
              <w:right w:val="single" w:sz="4" w:space="0" w:color="000000"/>
            </w:tcBorders>
          </w:tcPr>
          <w:p w14:paraId="39D0F4D1" w14:textId="77777777" w:rsidR="009D1E79" w:rsidRPr="00601D5B" w:rsidRDefault="009D1E79" w:rsidP="00601D5B">
            <w:pPr>
              <w:adjustRightInd w:val="0"/>
              <w:snapToGrid w:val="0"/>
              <w:spacing w:after="0" w:line="240" w:lineRule="auto"/>
              <w:jc w:val="both"/>
              <w:rPr>
                <w:rFonts w:ascii="Times New Roman" w:hAnsi="Times New Roman" w:cs="Times New Roman"/>
                <w:b/>
                <w:sz w:val="20"/>
                <w:szCs w:val="20"/>
              </w:rPr>
            </w:pPr>
          </w:p>
          <w:p w14:paraId="204CBFBB" w14:textId="77777777" w:rsidR="009D1E79" w:rsidRPr="00601D5B" w:rsidRDefault="009D1E79" w:rsidP="00601D5B">
            <w:pPr>
              <w:adjustRightInd w:val="0"/>
              <w:snapToGrid w:val="0"/>
              <w:spacing w:after="0" w:line="240" w:lineRule="auto"/>
              <w:jc w:val="both"/>
              <w:rPr>
                <w:rFonts w:ascii="Times New Roman" w:hAnsi="Times New Roman" w:cs="Times New Roman"/>
                <w:sz w:val="20"/>
                <w:szCs w:val="20"/>
              </w:rPr>
            </w:pPr>
            <w:r w:rsidRPr="00601D5B">
              <w:rPr>
                <w:rFonts w:ascii="Times New Roman" w:hAnsi="Times New Roman" w:cs="Times New Roman"/>
                <w:sz w:val="20"/>
                <w:szCs w:val="20"/>
              </w:rPr>
              <w:t>Відновлювальні технології</w:t>
            </w:r>
          </w:p>
        </w:tc>
        <w:tc>
          <w:tcPr>
            <w:tcW w:w="3616" w:type="pct"/>
            <w:tcBorders>
              <w:top w:val="single" w:sz="4" w:space="0" w:color="000000"/>
              <w:left w:val="single" w:sz="4" w:space="0" w:color="000000"/>
              <w:bottom w:val="single" w:sz="4" w:space="0" w:color="000000"/>
            </w:tcBorders>
          </w:tcPr>
          <w:p w14:paraId="3B643F8D" w14:textId="3ACA2797" w:rsidR="009D1E79" w:rsidRPr="00601D5B" w:rsidRDefault="009D1E79" w:rsidP="00601D5B">
            <w:pPr>
              <w:adjustRightInd w:val="0"/>
              <w:snapToGrid w:val="0"/>
              <w:spacing w:after="0" w:line="240" w:lineRule="auto"/>
              <w:jc w:val="both"/>
              <w:rPr>
                <w:rFonts w:ascii="Times New Roman" w:hAnsi="Times New Roman" w:cs="Times New Roman"/>
                <w:sz w:val="20"/>
                <w:szCs w:val="20"/>
              </w:rPr>
            </w:pPr>
            <w:r w:rsidRPr="00601D5B">
              <w:rPr>
                <w:rFonts w:ascii="Times New Roman" w:hAnsi="Times New Roman" w:cs="Times New Roman"/>
                <w:sz w:val="20"/>
                <w:szCs w:val="20"/>
              </w:rPr>
              <w:t>– спрямовані на відновлення екосистем, знищених через втручання людини: фізичні та хімічні методи очищення (рекультивації земель, локалізації розливу нафти), реабілітація інфраструктури, шахт тощо</w:t>
            </w:r>
          </w:p>
        </w:tc>
      </w:tr>
      <w:tr w:rsidR="009D1E79" w:rsidRPr="00601D5B" w14:paraId="22C84F7B" w14:textId="77777777" w:rsidTr="00601D5B">
        <w:trPr>
          <w:trHeight w:val="1148"/>
        </w:trPr>
        <w:tc>
          <w:tcPr>
            <w:tcW w:w="1384" w:type="pct"/>
            <w:tcBorders>
              <w:top w:val="single" w:sz="4" w:space="0" w:color="000000"/>
              <w:right w:val="single" w:sz="4" w:space="0" w:color="000000"/>
            </w:tcBorders>
          </w:tcPr>
          <w:p w14:paraId="26BF5F0A" w14:textId="77777777" w:rsidR="009D1E79" w:rsidRPr="00601D5B" w:rsidRDefault="009D1E79" w:rsidP="00601D5B">
            <w:pPr>
              <w:adjustRightInd w:val="0"/>
              <w:snapToGrid w:val="0"/>
              <w:spacing w:after="0" w:line="240" w:lineRule="auto"/>
              <w:jc w:val="both"/>
              <w:rPr>
                <w:rFonts w:ascii="Times New Roman" w:hAnsi="Times New Roman" w:cs="Times New Roman"/>
                <w:sz w:val="20"/>
                <w:szCs w:val="20"/>
              </w:rPr>
            </w:pPr>
            <w:r w:rsidRPr="00601D5B">
              <w:rPr>
                <w:rFonts w:ascii="Times New Roman" w:hAnsi="Times New Roman" w:cs="Times New Roman"/>
                <w:sz w:val="20"/>
                <w:szCs w:val="20"/>
              </w:rPr>
              <w:t>Адаптаційні технології</w:t>
            </w:r>
          </w:p>
        </w:tc>
        <w:tc>
          <w:tcPr>
            <w:tcW w:w="3616" w:type="pct"/>
            <w:tcBorders>
              <w:top w:val="single" w:sz="4" w:space="0" w:color="000000"/>
              <w:left w:val="single" w:sz="4" w:space="0" w:color="000000"/>
            </w:tcBorders>
          </w:tcPr>
          <w:p w14:paraId="16ADC0C0" w14:textId="785DAB9C" w:rsidR="009D1E79" w:rsidRPr="00601D5B" w:rsidRDefault="009D1E79" w:rsidP="00601D5B">
            <w:pPr>
              <w:adjustRightInd w:val="0"/>
              <w:snapToGrid w:val="0"/>
              <w:spacing w:after="0" w:line="240" w:lineRule="auto"/>
              <w:jc w:val="both"/>
              <w:rPr>
                <w:rFonts w:ascii="Times New Roman" w:hAnsi="Times New Roman" w:cs="Times New Roman"/>
                <w:sz w:val="20"/>
                <w:szCs w:val="20"/>
              </w:rPr>
            </w:pPr>
            <w:r w:rsidRPr="00601D5B">
              <w:rPr>
                <w:rFonts w:ascii="Times New Roman" w:hAnsi="Times New Roman" w:cs="Times New Roman"/>
                <w:sz w:val="20"/>
                <w:szCs w:val="20"/>
              </w:rPr>
              <w:t>– адаптація виробництва і споживання до очікуваної незворотньої зміни довкілля (змін клімату, виснаження озонового шару, ґрунту)</w:t>
            </w:r>
          </w:p>
        </w:tc>
      </w:tr>
    </w:tbl>
    <w:p w14:paraId="21009257" w14:textId="77777777" w:rsidR="009F6390" w:rsidRDefault="009F6390" w:rsidP="009F6390">
      <w:pPr>
        <w:adjustRightInd w:val="0"/>
        <w:snapToGrid w:val="0"/>
        <w:spacing w:after="0" w:line="240" w:lineRule="auto"/>
        <w:jc w:val="both"/>
        <w:rPr>
          <w:rFonts w:ascii="Times New Roman" w:hAnsi="Times New Roman" w:cs="Times New Roman"/>
          <w:sz w:val="20"/>
          <w:szCs w:val="20"/>
        </w:rPr>
      </w:pPr>
    </w:p>
    <w:p w14:paraId="17A787D2" w14:textId="2F569FCE" w:rsidR="008B6F2E" w:rsidRPr="00D43A8E" w:rsidRDefault="00E21F18" w:rsidP="00D43A8E">
      <w:pPr>
        <w:adjustRightInd w:val="0"/>
        <w:snapToGrid w:val="0"/>
        <w:spacing w:after="0" w:line="240" w:lineRule="auto"/>
        <w:ind w:firstLine="567"/>
        <w:jc w:val="center"/>
        <w:rPr>
          <w:rFonts w:ascii="Times New Roman" w:hAnsi="Times New Roman" w:cs="Times New Roman"/>
          <w:b/>
          <w:bCs/>
          <w:sz w:val="20"/>
          <w:szCs w:val="20"/>
        </w:rPr>
      </w:pPr>
      <w:r>
        <w:rPr>
          <w:rFonts w:ascii="Times New Roman" w:hAnsi="Times New Roman" w:cs="Times New Roman"/>
          <w:b/>
          <w:bCs/>
          <w:sz w:val="16"/>
          <w:szCs w:val="16"/>
        </w:rPr>
        <w:br w:type="page"/>
      </w:r>
      <w:r w:rsidR="008B6F2E" w:rsidRPr="006635DC">
        <w:rPr>
          <w:rFonts w:ascii="Times New Roman" w:hAnsi="Times New Roman" w:cs="Times New Roman"/>
          <w:b/>
          <w:bCs/>
          <w:sz w:val="20"/>
          <w:szCs w:val="20"/>
        </w:rPr>
        <w:lastRenderedPageBreak/>
        <w:t xml:space="preserve">Тема </w:t>
      </w:r>
      <w:r w:rsidR="00564C83">
        <w:rPr>
          <w:rFonts w:ascii="Times New Roman" w:hAnsi="Times New Roman" w:cs="Times New Roman"/>
          <w:b/>
          <w:bCs/>
          <w:sz w:val="20"/>
          <w:szCs w:val="20"/>
        </w:rPr>
        <w:t>7</w:t>
      </w:r>
      <w:r w:rsidR="008B6F2E" w:rsidRPr="006635DC">
        <w:rPr>
          <w:rFonts w:ascii="Times New Roman" w:hAnsi="Times New Roman" w:cs="Times New Roman"/>
          <w:b/>
          <w:bCs/>
          <w:sz w:val="20"/>
          <w:szCs w:val="20"/>
        </w:rPr>
        <w:t xml:space="preserve">. </w:t>
      </w:r>
      <w:r w:rsidR="00D43A8E" w:rsidRPr="00D43A8E">
        <w:rPr>
          <w:rFonts w:ascii="Times New Roman" w:hAnsi="Times New Roman" w:cs="Times New Roman"/>
          <w:b/>
          <w:bCs/>
          <w:sz w:val="20"/>
          <w:szCs w:val="20"/>
        </w:rPr>
        <w:t>Досвід європейських країн у побудові «зеленої» економіки</w:t>
      </w:r>
    </w:p>
    <w:p w14:paraId="11124EAC"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Якщо розглядати витоки «зеленої» економіки, то деякі експерти схильні визнавати їх як сучасний політичний лозунг. Проте можна констатувати, що «зелена» економіка не віддає перевагу якійсь одній політичній теорії – її розвиток можливий в умовах будь-якої економіки, чи то державної, чи то суто ринкової. При цьому, на думку її ідеологів, «зелена» економіка не слугує та не є альтернативою сталому розвитку. Імовірніше, це вектор орієнтації курсу на такий розвиток на національному, регіональному та світовому рівнях, який узгоджується з «Порядком денним на ХХІ століття» та матеріалізує реалізацію його положень. Ініціатива «зеленої економіки» заснована на трьох головних принципах:</w:t>
      </w:r>
    </w:p>
    <w:p w14:paraId="0660C5A0" w14:textId="77777777" w:rsidR="008B6F2E" w:rsidRPr="006635DC" w:rsidRDefault="008B6F2E" w:rsidP="008B6F2E">
      <w:pPr>
        <w:numPr>
          <w:ilvl w:val="1"/>
          <w:numId w:val="50"/>
        </w:numPr>
        <w:adjustRightInd w:val="0"/>
        <w:snapToGrid w:val="0"/>
        <w:spacing w:after="0" w:line="240" w:lineRule="auto"/>
        <w:ind w:left="0" w:firstLine="567"/>
        <w:jc w:val="both"/>
        <w:rPr>
          <w:rFonts w:ascii="Times New Roman" w:hAnsi="Times New Roman" w:cs="Times New Roman"/>
          <w:sz w:val="20"/>
          <w:szCs w:val="20"/>
        </w:rPr>
      </w:pPr>
      <w:r w:rsidRPr="006635DC">
        <w:rPr>
          <w:rFonts w:ascii="Times New Roman" w:hAnsi="Times New Roman" w:cs="Times New Roman"/>
          <w:sz w:val="20"/>
          <w:szCs w:val="20"/>
        </w:rPr>
        <w:t>оцінка і висунення на перший план екосистемних послуг як на національному, так і міжнародному рівнях;</w:t>
      </w:r>
    </w:p>
    <w:p w14:paraId="498A33E3" w14:textId="77777777" w:rsidR="008B6F2E" w:rsidRPr="006635DC" w:rsidRDefault="008B6F2E" w:rsidP="008B6F2E">
      <w:pPr>
        <w:numPr>
          <w:ilvl w:val="1"/>
          <w:numId w:val="50"/>
        </w:numPr>
        <w:adjustRightInd w:val="0"/>
        <w:snapToGrid w:val="0"/>
        <w:spacing w:after="0" w:line="240" w:lineRule="auto"/>
        <w:ind w:left="0" w:firstLine="567"/>
        <w:jc w:val="both"/>
        <w:rPr>
          <w:rFonts w:ascii="Times New Roman" w:hAnsi="Times New Roman" w:cs="Times New Roman"/>
          <w:sz w:val="20"/>
          <w:szCs w:val="20"/>
        </w:rPr>
      </w:pPr>
      <w:r w:rsidRPr="006635DC">
        <w:rPr>
          <w:rFonts w:ascii="Times New Roman" w:hAnsi="Times New Roman" w:cs="Times New Roman"/>
          <w:sz w:val="20"/>
          <w:szCs w:val="20"/>
        </w:rPr>
        <w:t>забезпечення зайнятості населення за рахунок створення «зелених» робочих місць та розроблення відповідної політики;</w:t>
      </w:r>
    </w:p>
    <w:p w14:paraId="55F55E1C" w14:textId="77777777" w:rsidR="008B6F2E" w:rsidRPr="006635DC" w:rsidRDefault="008B6F2E" w:rsidP="008B6F2E">
      <w:pPr>
        <w:numPr>
          <w:ilvl w:val="1"/>
          <w:numId w:val="50"/>
        </w:numPr>
        <w:adjustRightInd w:val="0"/>
        <w:snapToGrid w:val="0"/>
        <w:spacing w:after="0" w:line="240" w:lineRule="auto"/>
        <w:ind w:left="0" w:firstLine="567"/>
        <w:jc w:val="both"/>
        <w:rPr>
          <w:rFonts w:ascii="Times New Roman" w:hAnsi="Times New Roman" w:cs="Times New Roman"/>
          <w:sz w:val="20"/>
          <w:szCs w:val="20"/>
        </w:rPr>
      </w:pPr>
      <w:r w:rsidRPr="006635DC">
        <w:rPr>
          <w:rFonts w:ascii="Times New Roman" w:hAnsi="Times New Roman" w:cs="Times New Roman"/>
          <w:sz w:val="20"/>
          <w:szCs w:val="20"/>
        </w:rPr>
        <w:t>використання ринкових механізмів для досягнення стійкого розвитку та підвищення економічної конкурентоспроможності.</w:t>
      </w:r>
    </w:p>
    <w:p w14:paraId="41283F6C"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концепція «зеленої» економіки з’явилася як відповідь на глобальну фінансову кризу (2008 р.), яка активізувала пошук відповідей на питання – як задіяти нові джерела зростання, пов’язані з використанням ресурсноефективних і більш екологічно чистих технологій, та переорієнтувати для цього потоки інвестицій. Очікується, що ця трансформація дозволить забезпечити безперервне економічне зростання, необхідне для створення робочих місць і скорочення масштабів убогості, знижуючи при цьому інтенсивність споживання та виробництва енергії і ресурсів. Якщо аналізувати еволюцію розвитку «зеленої» економіки, то, перш за все, доречно констатувати, що вона є логічним продовженням теорії сталого розвитку, яка цементує стратегію подальших досягнень. Поштовхом до цього стала запропонована у 2009 р. ідеологія Глобального Зеленого курсу (ГЗНК)5 ЮНЕП, яка пропонується як практичне вираження еколого орієнтованих урядових ініціатив та інтегрованої моделі сталого розвитку економіки та довкілля, а також бачення того, як має виглядати зелена модернізація в довгостроковому періоді.</w:t>
      </w:r>
    </w:p>
    <w:p w14:paraId="4015F79D"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Саме цей курс, на думку експертів, належить до ряду глобально скоординованих великомасштабних пакетів стимулювання економіки і до таких заходів у сфері політики, які в короткостроковій перспективі зможуть привести до пожвавлення світової економіки, заклавши при цьому фундамент для стабільного економічного зростання на середньострокову і довгострокову перспективу.</w:t>
      </w:r>
    </w:p>
    <w:p w14:paraId="25C912A9"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 xml:space="preserve">При просуванні ГЗНК повинен застосовуватися принцип «загальної, але диференційованої відповідальності» з урахуванням особливостей розвинених країн, країн з ринковою економікою, країн з перехідною економікою та менш розвинутих країн. Розрахунки експертів за макроекономічною моделлю </w:t>
      </w:r>
      <w:r w:rsidRPr="006635DC">
        <w:rPr>
          <w:rFonts w:ascii="Times New Roman" w:hAnsi="Times New Roman" w:cs="Times New Roman"/>
          <w:sz w:val="20"/>
          <w:szCs w:val="20"/>
        </w:rPr>
        <w:lastRenderedPageBreak/>
        <w:t>показали, що сценарій «зелених» інвестицій має забезпечити протягом 5-10 років більш високі річні темпи зростання, ніж інвестиції у звичайні види діяльності.</w:t>
      </w:r>
    </w:p>
    <w:p w14:paraId="2DDDA1F5"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Така зміна моделі суспільного розвитку була підтримана Організацією економічного співробітництва та розвитку (ОЕСР). У декларації «зеленого» зростання, прийнятій на Конференції Міністрів країн 25 червня 2009 року, ОЕСР закликала країни впроваджувати стратегії зеленого зростання та відповідні інструменти політики, спрямовані на збільшення інвестицій у розвиток і використання екологічно чистих технологій та підвищення енергоефективності. Важливо відмітити, что теорія зеленого зростання не підміняє концепцію сталого розвитку, а слугує практичним інструментом досягнення цілей сталого розвитку. Обидві концепції в загальновизнаному форматі ґрунтуються на принципах взаємодії суспільства і природи та спрямовані на задоволення потреб не тільки сучасного, але й майбутніх поколінь.</w:t>
      </w:r>
    </w:p>
    <w:p w14:paraId="2A9AEF33"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Відмінні особливості концепції та стратегії зеленого зростання ОЕСР:</w:t>
      </w:r>
    </w:p>
    <w:p w14:paraId="14D73E0A" w14:textId="77777777" w:rsidR="008B6F2E" w:rsidRPr="006635DC" w:rsidRDefault="008B6F2E" w:rsidP="008B6F2E">
      <w:pPr>
        <w:numPr>
          <w:ilvl w:val="0"/>
          <w:numId w:val="49"/>
        </w:numPr>
        <w:adjustRightInd w:val="0"/>
        <w:snapToGrid w:val="0"/>
        <w:spacing w:after="0" w:line="240" w:lineRule="auto"/>
        <w:ind w:left="0" w:firstLine="567"/>
        <w:jc w:val="both"/>
        <w:rPr>
          <w:rFonts w:ascii="Times New Roman" w:hAnsi="Times New Roman" w:cs="Times New Roman"/>
          <w:sz w:val="20"/>
          <w:szCs w:val="20"/>
        </w:rPr>
      </w:pPr>
      <w:r w:rsidRPr="006635DC">
        <w:rPr>
          <w:rFonts w:ascii="Times New Roman" w:hAnsi="Times New Roman" w:cs="Times New Roman"/>
          <w:sz w:val="20"/>
          <w:szCs w:val="20"/>
        </w:rPr>
        <w:t xml:space="preserve">природний капітал розглядається як фактор виробництва, як продуктивний капітал, відновлення та нарощування якого </w:t>
      </w:r>
      <w:r>
        <w:rPr>
          <w:rFonts w:ascii="Times New Roman" w:hAnsi="Times New Roman" w:cs="Times New Roman"/>
          <w:sz w:val="20"/>
          <w:szCs w:val="20"/>
        </w:rPr>
        <w:t>по</w:t>
      </w:r>
      <w:r w:rsidRPr="006635DC">
        <w:rPr>
          <w:rFonts w:ascii="Times New Roman" w:hAnsi="Times New Roman" w:cs="Times New Roman"/>
          <w:sz w:val="20"/>
          <w:szCs w:val="20"/>
        </w:rPr>
        <w:t>требує інвестицій;</w:t>
      </w:r>
    </w:p>
    <w:p w14:paraId="2073B630" w14:textId="77777777" w:rsidR="008B6F2E" w:rsidRPr="006635DC" w:rsidRDefault="008B6F2E" w:rsidP="008B6F2E">
      <w:pPr>
        <w:numPr>
          <w:ilvl w:val="0"/>
          <w:numId w:val="49"/>
        </w:numPr>
        <w:adjustRightInd w:val="0"/>
        <w:snapToGrid w:val="0"/>
        <w:spacing w:after="0" w:line="240" w:lineRule="auto"/>
        <w:ind w:left="0" w:firstLine="567"/>
        <w:jc w:val="both"/>
        <w:rPr>
          <w:rFonts w:ascii="Times New Roman" w:hAnsi="Times New Roman" w:cs="Times New Roman"/>
          <w:sz w:val="20"/>
          <w:szCs w:val="20"/>
        </w:rPr>
      </w:pPr>
      <w:r w:rsidRPr="006635DC">
        <w:rPr>
          <w:rFonts w:ascii="Times New Roman" w:hAnsi="Times New Roman" w:cs="Times New Roman"/>
          <w:sz w:val="20"/>
          <w:szCs w:val="20"/>
        </w:rPr>
        <w:t>екологічна політика розглядається як інвестиційна політика, спрямована на підвищення ефективності використання природних ресурсів шляхом розвитку і використання новітніх ресурсо</w:t>
      </w:r>
      <w:r>
        <w:rPr>
          <w:rFonts w:ascii="Times New Roman" w:hAnsi="Times New Roman" w:cs="Times New Roman"/>
          <w:sz w:val="20"/>
          <w:szCs w:val="20"/>
        </w:rPr>
        <w:t xml:space="preserve"> </w:t>
      </w:r>
      <w:r w:rsidRPr="006635DC">
        <w:rPr>
          <w:rFonts w:ascii="Times New Roman" w:hAnsi="Times New Roman" w:cs="Times New Roman"/>
          <w:sz w:val="20"/>
          <w:szCs w:val="20"/>
        </w:rPr>
        <w:t>та енергоефективних низьковуглецевих технологій;</w:t>
      </w:r>
    </w:p>
    <w:p w14:paraId="12211DE4" w14:textId="77777777" w:rsidR="008B6F2E" w:rsidRPr="006635DC" w:rsidRDefault="008B6F2E" w:rsidP="008B6F2E">
      <w:pPr>
        <w:numPr>
          <w:ilvl w:val="0"/>
          <w:numId w:val="49"/>
        </w:numPr>
        <w:adjustRightInd w:val="0"/>
        <w:snapToGrid w:val="0"/>
        <w:spacing w:after="0" w:line="240" w:lineRule="auto"/>
        <w:ind w:left="0" w:firstLine="567"/>
        <w:jc w:val="both"/>
        <w:rPr>
          <w:rFonts w:ascii="Times New Roman" w:hAnsi="Times New Roman" w:cs="Times New Roman"/>
          <w:sz w:val="20"/>
          <w:szCs w:val="20"/>
        </w:rPr>
      </w:pPr>
      <w:r w:rsidRPr="006635DC">
        <w:rPr>
          <w:rFonts w:ascii="Times New Roman" w:hAnsi="Times New Roman" w:cs="Times New Roman"/>
          <w:sz w:val="20"/>
          <w:szCs w:val="20"/>
        </w:rPr>
        <w:t>зелені види діяльності та екологічні інновації покликані сприяти структурній перебудові, підвищенню продуктивності праці, капіталу, використання ресурсів та підтримувати перехід на технології нової хвилі і модернізацію інфраструктури;</w:t>
      </w:r>
    </w:p>
    <w:p w14:paraId="1B846E20" w14:textId="77777777" w:rsidR="008B6F2E" w:rsidRPr="006635DC" w:rsidRDefault="008B6F2E" w:rsidP="008B6F2E">
      <w:pPr>
        <w:numPr>
          <w:ilvl w:val="0"/>
          <w:numId w:val="49"/>
        </w:numPr>
        <w:adjustRightInd w:val="0"/>
        <w:snapToGrid w:val="0"/>
        <w:spacing w:after="0" w:line="240" w:lineRule="auto"/>
        <w:ind w:left="0" w:firstLine="567"/>
        <w:jc w:val="both"/>
        <w:rPr>
          <w:rFonts w:ascii="Times New Roman" w:hAnsi="Times New Roman" w:cs="Times New Roman"/>
          <w:sz w:val="20"/>
          <w:szCs w:val="20"/>
        </w:rPr>
      </w:pPr>
      <w:r w:rsidRPr="006635DC">
        <w:rPr>
          <w:rFonts w:ascii="Times New Roman" w:hAnsi="Times New Roman" w:cs="Times New Roman"/>
          <w:sz w:val="20"/>
          <w:szCs w:val="20"/>
        </w:rPr>
        <w:t>тісний взаємозв’язок між економічною та екологічною політикою забезпечується шляхом використання таких інструментів як більш справедливе ціноутворення та оподаткування для стимулювання ресурсозбереження, уведення більш жорстких, але стимулювальних екологічних стандартів і технічних регламентів, реформування системи субсидій на енергоресурси, упровадження розширеної системи індикаторів для оцінки результативності дій та прийняття політичних рішень у цих напрямах.</w:t>
      </w:r>
    </w:p>
    <w:p w14:paraId="4281813D" w14:textId="5B42833A" w:rsidR="008B6F2E" w:rsidRPr="006635DC" w:rsidRDefault="00662914" w:rsidP="008B6F2E">
      <w:pPr>
        <w:adjustRightInd w:val="0"/>
        <w:snapToGrid w:val="0"/>
        <w:spacing w:after="0" w:line="240" w:lineRule="auto"/>
        <w:ind w:firstLine="567"/>
        <w:jc w:val="both"/>
        <w:rPr>
          <w:rFonts w:ascii="Times New Roman" w:hAnsi="Times New Roman" w:cs="Times New Roman"/>
          <w:sz w:val="20"/>
          <w:szCs w:val="20"/>
        </w:rPr>
      </w:pPr>
      <w:r>
        <w:rPr>
          <w:rFonts w:ascii="Times New Roman" w:hAnsi="Times New Roman" w:cs="Times New Roman"/>
          <w:sz w:val="20"/>
          <w:szCs w:val="20"/>
        </w:rPr>
        <w:t>Е</w:t>
      </w:r>
      <w:r w:rsidR="008B6F2E" w:rsidRPr="006635DC">
        <w:rPr>
          <w:rFonts w:ascii="Times New Roman" w:hAnsi="Times New Roman" w:cs="Times New Roman"/>
          <w:sz w:val="20"/>
          <w:szCs w:val="20"/>
        </w:rPr>
        <w:t xml:space="preserve">кологічна програма </w:t>
      </w:r>
      <w:r w:rsidRPr="006635DC">
        <w:rPr>
          <w:rFonts w:ascii="Times New Roman" w:hAnsi="Times New Roman" w:cs="Times New Roman"/>
          <w:sz w:val="20"/>
          <w:szCs w:val="20"/>
        </w:rPr>
        <w:t xml:space="preserve">ООН </w:t>
      </w:r>
      <w:r w:rsidR="008B6F2E" w:rsidRPr="006635DC">
        <w:rPr>
          <w:rFonts w:ascii="Times New Roman" w:hAnsi="Times New Roman" w:cs="Times New Roman"/>
          <w:sz w:val="20"/>
          <w:szCs w:val="20"/>
        </w:rPr>
        <w:t>під назвою Green Economy Initiative доводить, що це не лише запорука збереження чистого довкілля, а й ефективний шлях побудови нової економіки та запровадження тих реформ, які давно вже назріли.</w:t>
      </w:r>
    </w:p>
    <w:p w14:paraId="7D47E32A"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Програма включає низку цілей суто економічного характеру, зокрема, створення нових робочих місць, збільшення виробництва при зменшенні використання природних ресурсів, можливість ефективної переробки відходів, однак декларує можливості збільшення екологічної ємності на всіх рівнях.</w:t>
      </w:r>
    </w:p>
    <w:p w14:paraId="49E2B293" w14:textId="21A7115F"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lastRenderedPageBreak/>
        <w:t xml:space="preserve">Згідно з проектом ЮНЕП новий економічний підхід має бути зафіксований в угоді між урядами держав </w:t>
      </w:r>
      <w:r w:rsidRPr="006635DC">
        <w:rPr>
          <w:rFonts w:ascii="Times New Roman" w:hAnsi="Times New Roman" w:cs="Times New Roman"/>
          <w:i/>
          <w:sz w:val="20"/>
          <w:szCs w:val="20"/>
        </w:rPr>
        <w:t xml:space="preserve">Global Green Deal </w:t>
      </w:r>
      <w:r w:rsidRPr="006635DC">
        <w:rPr>
          <w:rFonts w:ascii="Times New Roman" w:hAnsi="Times New Roman" w:cs="Times New Roman"/>
          <w:sz w:val="20"/>
          <w:szCs w:val="20"/>
        </w:rPr>
        <w:t xml:space="preserve">(«Світова екологічна домовленість»), що міститиме основні ідеї побудови «зеленої економіки». Фахівці ООН сформулювали в межах концепції «зелені» відповіді на глобальну економічну кризу та скорочення доступу до енергетичних і харчових ресурсів. Ці відповіді є заходами реалізації «зеленої економіки», що реалізуються у відповідних напрямах трансформації (табл. </w:t>
      </w:r>
      <w:r w:rsidR="006A3179">
        <w:rPr>
          <w:rFonts w:ascii="Times New Roman" w:hAnsi="Times New Roman" w:cs="Times New Roman"/>
          <w:sz w:val="20"/>
          <w:szCs w:val="20"/>
        </w:rPr>
        <w:t>7</w:t>
      </w:r>
      <w:r w:rsidRPr="006635DC">
        <w:rPr>
          <w:rFonts w:ascii="Times New Roman" w:hAnsi="Times New Roman" w:cs="Times New Roman"/>
          <w:sz w:val="20"/>
          <w:szCs w:val="20"/>
        </w:rPr>
        <w:t>.1).</w:t>
      </w:r>
    </w:p>
    <w:p w14:paraId="18E99609"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 xml:space="preserve">Певні пропозиції до </w:t>
      </w:r>
      <w:r w:rsidRPr="006635DC">
        <w:rPr>
          <w:rFonts w:ascii="Times New Roman" w:hAnsi="Times New Roman" w:cs="Times New Roman"/>
          <w:i/>
          <w:sz w:val="20"/>
          <w:szCs w:val="20"/>
        </w:rPr>
        <w:t xml:space="preserve">Global Green Deal </w:t>
      </w:r>
      <w:r w:rsidRPr="006635DC">
        <w:rPr>
          <w:rFonts w:ascii="Times New Roman" w:hAnsi="Times New Roman" w:cs="Times New Roman"/>
          <w:sz w:val="20"/>
          <w:szCs w:val="20"/>
        </w:rPr>
        <w:t xml:space="preserve">підготував </w:t>
      </w:r>
      <w:r w:rsidRPr="006635DC">
        <w:rPr>
          <w:rFonts w:ascii="Times New Roman" w:hAnsi="Times New Roman" w:cs="Times New Roman"/>
          <w:i/>
          <w:sz w:val="20"/>
          <w:szCs w:val="20"/>
        </w:rPr>
        <w:t xml:space="preserve">Worldwatch Institute </w:t>
      </w:r>
      <w:r w:rsidRPr="006635DC">
        <w:rPr>
          <w:rFonts w:ascii="Times New Roman" w:hAnsi="Times New Roman" w:cs="Times New Roman"/>
          <w:sz w:val="20"/>
          <w:szCs w:val="20"/>
        </w:rPr>
        <w:t>– екологічна дослідна організація, що займається поширенням інформації екологічної тематики, виробленням стратегій для створення суспільства сталого розвитку, боротьбою з глобальним потеплінням, надмірним використанням невідновлюваних ресурсів та бідністю. Її засновник Л. Браун для порятунку цивілізації розробив «план Б» з орієнтовною вартістю 187 млрд дол. щорічно, що втричі менше, ніж військовий бюджет США на 2008 р.</w:t>
      </w:r>
    </w:p>
    <w:p w14:paraId="542D8892"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Суть цього плану полягає в переході на нову, екологічно безпечну економічну модель і глобальній реформі</w:t>
      </w:r>
    </w:p>
    <w:p w14:paraId="71DD36CE" w14:textId="77777777" w:rsidR="008B6F2E" w:rsidRPr="003B560A" w:rsidRDefault="008B6F2E" w:rsidP="008B6F2E">
      <w:pPr>
        <w:adjustRightInd w:val="0"/>
        <w:snapToGrid w:val="0"/>
        <w:spacing w:after="0" w:line="240" w:lineRule="auto"/>
        <w:ind w:firstLine="567"/>
        <w:jc w:val="both"/>
        <w:rPr>
          <w:rFonts w:ascii="Times New Roman" w:hAnsi="Times New Roman" w:cs="Times New Roman"/>
          <w:b/>
          <w:bCs/>
          <w:sz w:val="20"/>
          <w:szCs w:val="20"/>
        </w:rPr>
      </w:pPr>
    </w:p>
    <w:p w14:paraId="4E8C8102" w14:textId="6AD7DF8C" w:rsidR="008B6F2E" w:rsidRPr="006A3179" w:rsidRDefault="008B6F2E" w:rsidP="006A3179">
      <w:pPr>
        <w:adjustRightInd w:val="0"/>
        <w:snapToGrid w:val="0"/>
        <w:spacing w:after="0" w:line="240" w:lineRule="auto"/>
        <w:ind w:firstLine="567"/>
        <w:jc w:val="right"/>
        <w:rPr>
          <w:rFonts w:ascii="Times New Roman" w:hAnsi="Times New Roman" w:cs="Times New Roman"/>
          <w:sz w:val="20"/>
          <w:szCs w:val="20"/>
        </w:rPr>
      </w:pPr>
      <w:r w:rsidRPr="006A3179">
        <w:rPr>
          <w:rFonts w:ascii="Times New Roman" w:hAnsi="Times New Roman" w:cs="Times New Roman"/>
          <w:sz w:val="20"/>
          <w:szCs w:val="20"/>
        </w:rPr>
        <w:t xml:space="preserve">Таблиця </w:t>
      </w:r>
      <w:r w:rsidR="006A3179" w:rsidRPr="006A3179">
        <w:rPr>
          <w:rFonts w:ascii="Times New Roman" w:hAnsi="Times New Roman" w:cs="Times New Roman"/>
          <w:sz w:val="20"/>
          <w:szCs w:val="20"/>
        </w:rPr>
        <w:t>7</w:t>
      </w:r>
      <w:r w:rsidRPr="006A3179">
        <w:rPr>
          <w:rFonts w:ascii="Times New Roman" w:hAnsi="Times New Roman" w:cs="Times New Roman"/>
          <w:sz w:val="20"/>
          <w:szCs w:val="20"/>
        </w:rPr>
        <w:t>.1</w:t>
      </w:r>
    </w:p>
    <w:p w14:paraId="7F3E1372" w14:textId="77777777" w:rsidR="008B6F2E" w:rsidRPr="006A3179" w:rsidRDefault="008B6F2E" w:rsidP="008B6F2E">
      <w:pPr>
        <w:adjustRightInd w:val="0"/>
        <w:snapToGrid w:val="0"/>
        <w:spacing w:after="0" w:line="240" w:lineRule="auto"/>
        <w:ind w:firstLine="567"/>
        <w:jc w:val="both"/>
        <w:rPr>
          <w:rFonts w:ascii="Times New Roman" w:hAnsi="Times New Roman" w:cs="Times New Roman"/>
          <w:sz w:val="20"/>
          <w:szCs w:val="20"/>
        </w:rPr>
      </w:pPr>
      <w:r w:rsidRPr="006A3179">
        <w:rPr>
          <w:rFonts w:ascii="Times New Roman" w:hAnsi="Times New Roman" w:cs="Times New Roman"/>
          <w:sz w:val="20"/>
          <w:szCs w:val="20"/>
        </w:rPr>
        <w:t>Напрями трансформації для реалізації концепції «зеленої» економіки</w:t>
      </w:r>
    </w:p>
    <w:tbl>
      <w:tblPr>
        <w:tblW w:w="5000" w:type="pct"/>
        <w:tblBorders>
          <w:top w:val="single" w:sz="18" w:space="0" w:color="007B3A"/>
          <w:left w:val="single" w:sz="18" w:space="0" w:color="007B3A"/>
          <w:bottom w:val="single" w:sz="18" w:space="0" w:color="007B3A"/>
          <w:right w:val="single" w:sz="18" w:space="0" w:color="007B3A"/>
          <w:insideH w:val="single" w:sz="18" w:space="0" w:color="007B3A"/>
          <w:insideV w:val="single" w:sz="18" w:space="0" w:color="007B3A"/>
        </w:tblBorders>
        <w:tblCellMar>
          <w:left w:w="0" w:type="dxa"/>
          <w:right w:w="0" w:type="dxa"/>
        </w:tblCellMar>
        <w:tblLook w:val="01E0" w:firstRow="1" w:lastRow="1" w:firstColumn="1" w:lastColumn="1" w:noHBand="0" w:noVBand="0"/>
      </w:tblPr>
      <w:tblGrid>
        <w:gridCol w:w="1881"/>
        <w:gridCol w:w="4762"/>
      </w:tblGrid>
      <w:tr w:rsidR="008B6F2E" w:rsidRPr="00FA6450" w14:paraId="3CE7C029" w14:textId="77777777" w:rsidTr="001000BC">
        <w:trPr>
          <w:trHeight w:val="547"/>
        </w:trPr>
        <w:tc>
          <w:tcPr>
            <w:tcW w:w="1416" w:type="pct"/>
            <w:tcBorders>
              <w:bottom w:val="single" w:sz="4" w:space="0" w:color="000000"/>
              <w:right w:val="single" w:sz="4" w:space="0" w:color="000000"/>
            </w:tcBorders>
            <w:shd w:val="clear" w:color="auto" w:fill="007B3A"/>
          </w:tcPr>
          <w:p w14:paraId="0B7D07EF"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Напрям трансформації</w:t>
            </w:r>
          </w:p>
        </w:tc>
        <w:tc>
          <w:tcPr>
            <w:tcW w:w="3584" w:type="pct"/>
            <w:tcBorders>
              <w:left w:val="single" w:sz="4" w:space="0" w:color="000000"/>
              <w:bottom w:val="single" w:sz="4" w:space="0" w:color="000000"/>
            </w:tcBorders>
            <w:shd w:val="clear" w:color="auto" w:fill="007B3A"/>
          </w:tcPr>
          <w:p w14:paraId="56A617B1"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Необхідні трансформаційні принципи та заходи для реалізації концепції «зеленої економіки»</w:t>
            </w:r>
          </w:p>
        </w:tc>
      </w:tr>
      <w:tr w:rsidR="008B6F2E" w:rsidRPr="00FA6450" w14:paraId="5C8D00E3" w14:textId="77777777" w:rsidTr="001000BC">
        <w:trPr>
          <w:trHeight w:val="764"/>
        </w:trPr>
        <w:tc>
          <w:tcPr>
            <w:tcW w:w="1416" w:type="pct"/>
            <w:tcBorders>
              <w:top w:val="single" w:sz="4" w:space="0" w:color="000000"/>
              <w:bottom w:val="single" w:sz="4" w:space="0" w:color="000000"/>
              <w:right w:val="single" w:sz="4" w:space="0" w:color="000000"/>
            </w:tcBorders>
          </w:tcPr>
          <w:p w14:paraId="21C3BD16"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Розроблення шляхів сталого розвитку</w:t>
            </w:r>
          </w:p>
        </w:tc>
        <w:tc>
          <w:tcPr>
            <w:tcW w:w="3584" w:type="pct"/>
            <w:tcBorders>
              <w:top w:val="single" w:sz="4" w:space="0" w:color="000000"/>
              <w:left w:val="single" w:sz="4" w:space="0" w:color="000000"/>
              <w:bottom w:val="single" w:sz="4" w:space="0" w:color="000000"/>
            </w:tcBorders>
          </w:tcPr>
          <w:p w14:paraId="6D39C6D0"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зміна визначення та виміру заможності та успіху держав (показник ВВП має бути доповнений індикаторами екосистемних послуг та біорізноманіття)</w:t>
            </w:r>
          </w:p>
        </w:tc>
      </w:tr>
      <w:tr w:rsidR="008B6F2E" w:rsidRPr="00FA6450" w14:paraId="10071792" w14:textId="77777777" w:rsidTr="001000BC">
        <w:trPr>
          <w:trHeight w:val="3259"/>
        </w:trPr>
        <w:tc>
          <w:tcPr>
            <w:tcW w:w="1416" w:type="pct"/>
            <w:tcBorders>
              <w:top w:val="single" w:sz="4" w:space="0" w:color="000000"/>
              <w:bottom w:val="single" w:sz="4" w:space="0" w:color="000000"/>
              <w:right w:val="single" w:sz="4" w:space="0" w:color="000000"/>
            </w:tcBorders>
          </w:tcPr>
          <w:p w14:paraId="2867F0E3"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369107F0"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74EA42FF"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5A193569"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1422D1E4"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16DADC04"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6537442B"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Інвестування у природний капітал</w:t>
            </w:r>
          </w:p>
        </w:tc>
        <w:tc>
          <w:tcPr>
            <w:tcW w:w="3584" w:type="pct"/>
            <w:tcBorders>
              <w:top w:val="single" w:sz="4" w:space="0" w:color="000000"/>
              <w:left w:val="single" w:sz="4" w:space="0" w:color="000000"/>
              <w:bottom w:val="single" w:sz="4" w:space="0" w:color="000000"/>
            </w:tcBorders>
          </w:tcPr>
          <w:p w14:paraId="143F00BD" w14:textId="77777777" w:rsidR="008B6F2E" w:rsidRPr="00FA6450" w:rsidRDefault="008B6F2E" w:rsidP="001000BC">
            <w:pPr>
              <w:numPr>
                <w:ilvl w:val="0"/>
                <w:numId w:val="48"/>
              </w:numPr>
              <w:adjustRightInd w:val="0"/>
              <w:snapToGrid w:val="0"/>
              <w:spacing w:after="0" w:line="240" w:lineRule="auto"/>
              <w:ind w:left="0" w:firstLine="0"/>
              <w:jc w:val="both"/>
              <w:rPr>
                <w:rFonts w:ascii="Times New Roman" w:hAnsi="Times New Roman" w:cs="Times New Roman"/>
                <w:sz w:val="16"/>
                <w:szCs w:val="16"/>
              </w:rPr>
            </w:pPr>
            <w:r w:rsidRPr="00FA6450">
              <w:rPr>
                <w:rFonts w:ascii="Times New Roman" w:hAnsi="Times New Roman" w:cs="Times New Roman"/>
                <w:sz w:val="16"/>
                <w:szCs w:val="16"/>
              </w:rPr>
              <w:t>збільшення частки заповідних територій до 15 % у всіх екосистемах для постачання природних послуг і регулювання клімату;</w:t>
            </w:r>
          </w:p>
          <w:p w14:paraId="500C0157" w14:textId="77777777" w:rsidR="008B6F2E" w:rsidRPr="00FA6450" w:rsidRDefault="008B6F2E" w:rsidP="001000BC">
            <w:pPr>
              <w:numPr>
                <w:ilvl w:val="0"/>
                <w:numId w:val="48"/>
              </w:numPr>
              <w:adjustRightInd w:val="0"/>
              <w:snapToGrid w:val="0"/>
              <w:spacing w:after="0" w:line="240" w:lineRule="auto"/>
              <w:ind w:left="0" w:firstLine="0"/>
              <w:jc w:val="both"/>
              <w:rPr>
                <w:rFonts w:ascii="Times New Roman" w:hAnsi="Times New Roman" w:cs="Times New Roman"/>
                <w:sz w:val="16"/>
                <w:szCs w:val="16"/>
              </w:rPr>
            </w:pPr>
            <w:r w:rsidRPr="00FA6450">
              <w:rPr>
                <w:rFonts w:ascii="Times New Roman" w:hAnsi="Times New Roman" w:cs="Times New Roman"/>
                <w:sz w:val="16"/>
                <w:szCs w:val="16"/>
              </w:rPr>
              <w:t>посилення захисту лісів, лісова сертифікація;</w:t>
            </w:r>
          </w:p>
          <w:p w14:paraId="779C46A9" w14:textId="77777777" w:rsidR="008B6F2E" w:rsidRPr="00FA6450" w:rsidRDefault="008B6F2E" w:rsidP="001000BC">
            <w:pPr>
              <w:numPr>
                <w:ilvl w:val="0"/>
                <w:numId w:val="48"/>
              </w:numPr>
              <w:adjustRightInd w:val="0"/>
              <w:snapToGrid w:val="0"/>
              <w:spacing w:after="0" w:line="240" w:lineRule="auto"/>
              <w:ind w:left="0" w:firstLine="0"/>
              <w:jc w:val="both"/>
              <w:rPr>
                <w:rFonts w:ascii="Times New Roman" w:hAnsi="Times New Roman" w:cs="Times New Roman"/>
                <w:sz w:val="16"/>
                <w:szCs w:val="16"/>
              </w:rPr>
            </w:pPr>
            <w:r w:rsidRPr="00FA6450">
              <w:rPr>
                <w:rFonts w:ascii="Times New Roman" w:hAnsi="Times New Roman" w:cs="Times New Roman"/>
                <w:sz w:val="16"/>
                <w:szCs w:val="16"/>
              </w:rPr>
              <w:t>припинення надмірного використання води;</w:t>
            </w:r>
          </w:p>
          <w:p w14:paraId="414FBC5A" w14:textId="77777777" w:rsidR="008B6F2E" w:rsidRPr="00FA6450" w:rsidRDefault="008B6F2E" w:rsidP="001000BC">
            <w:pPr>
              <w:numPr>
                <w:ilvl w:val="0"/>
                <w:numId w:val="48"/>
              </w:numPr>
              <w:adjustRightInd w:val="0"/>
              <w:snapToGrid w:val="0"/>
              <w:spacing w:after="0" w:line="240" w:lineRule="auto"/>
              <w:ind w:left="0" w:firstLine="0"/>
              <w:jc w:val="both"/>
              <w:rPr>
                <w:rFonts w:ascii="Times New Roman" w:hAnsi="Times New Roman" w:cs="Times New Roman"/>
                <w:sz w:val="16"/>
                <w:szCs w:val="16"/>
              </w:rPr>
            </w:pPr>
            <w:r w:rsidRPr="00FA6450">
              <w:rPr>
                <w:rFonts w:ascii="Times New Roman" w:hAnsi="Times New Roman" w:cs="Times New Roman"/>
                <w:sz w:val="16"/>
                <w:szCs w:val="16"/>
              </w:rPr>
              <w:t>припинення надмірного та руйнівного для екосистем вилову риби;</w:t>
            </w:r>
          </w:p>
          <w:p w14:paraId="2AF9A562" w14:textId="77777777" w:rsidR="008B6F2E" w:rsidRPr="00FA6450" w:rsidRDefault="008B6F2E" w:rsidP="001000BC">
            <w:pPr>
              <w:numPr>
                <w:ilvl w:val="0"/>
                <w:numId w:val="48"/>
              </w:numPr>
              <w:adjustRightInd w:val="0"/>
              <w:snapToGrid w:val="0"/>
              <w:spacing w:after="0" w:line="240" w:lineRule="auto"/>
              <w:ind w:left="0" w:firstLine="0"/>
              <w:jc w:val="both"/>
              <w:rPr>
                <w:rFonts w:ascii="Times New Roman" w:hAnsi="Times New Roman" w:cs="Times New Roman"/>
                <w:sz w:val="16"/>
                <w:szCs w:val="16"/>
              </w:rPr>
            </w:pPr>
            <w:r w:rsidRPr="00FA6450">
              <w:rPr>
                <w:rFonts w:ascii="Times New Roman" w:hAnsi="Times New Roman" w:cs="Times New Roman"/>
                <w:sz w:val="16"/>
                <w:szCs w:val="16"/>
              </w:rPr>
              <w:t>інвестування у біопродуктивність, підвищення біопродуктивності у спосіб відновлення деградованої землі, покращення управління, підвищення врожайності тощо;</w:t>
            </w:r>
          </w:p>
          <w:p w14:paraId="464A6E87" w14:textId="77777777" w:rsidR="008B6F2E" w:rsidRPr="00FA6450" w:rsidRDefault="008B6F2E" w:rsidP="001000BC">
            <w:pPr>
              <w:numPr>
                <w:ilvl w:val="0"/>
                <w:numId w:val="48"/>
              </w:numPr>
              <w:adjustRightInd w:val="0"/>
              <w:snapToGrid w:val="0"/>
              <w:spacing w:after="0" w:line="240" w:lineRule="auto"/>
              <w:ind w:left="0" w:firstLine="0"/>
              <w:jc w:val="both"/>
              <w:rPr>
                <w:rFonts w:ascii="Times New Roman" w:hAnsi="Times New Roman" w:cs="Times New Roman"/>
                <w:sz w:val="16"/>
                <w:szCs w:val="16"/>
              </w:rPr>
            </w:pPr>
            <w:r w:rsidRPr="00FA6450">
              <w:rPr>
                <w:rFonts w:ascii="Times New Roman" w:hAnsi="Times New Roman" w:cs="Times New Roman"/>
                <w:sz w:val="16"/>
                <w:szCs w:val="16"/>
              </w:rPr>
              <w:t>поширення продукції, виробленої з дотриманням природоохоронних норм;</w:t>
            </w:r>
          </w:p>
          <w:p w14:paraId="307F0749" w14:textId="77777777" w:rsidR="008B6F2E" w:rsidRPr="00FA6450" w:rsidRDefault="008B6F2E" w:rsidP="001000BC">
            <w:pPr>
              <w:numPr>
                <w:ilvl w:val="0"/>
                <w:numId w:val="48"/>
              </w:numPr>
              <w:adjustRightInd w:val="0"/>
              <w:snapToGrid w:val="0"/>
              <w:spacing w:after="0" w:line="240" w:lineRule="auto"/>
              <w:ind w:left="0" w:firstLine="0"/>
              <w:jc w:val="both"/>
              <w:rPr>
                <w:rFonts w:ascii="Times New Roman" w:hAnsi="Times New Roman" w:cs="Times New Roman"/>
                <w:sz w:val="16"/>
                <w:szCs w:val="16"/>
              </w:rPr>
            </w:pPr>
            <w:r w:rsidRPr="00FA6450">
              <w:rPr>
                <w:rFonts w:ascii="Times New Roman" w:hAnsi="Times New Roman" w:cs="Times New Roman"/>
                <w:sz w:val="16"/>
                <w:szCs w:val="16"/>
              </w:rPr>
              <w:t>оцінювання біорізноманіття та екосистемних послуг (уряди мають оцінити економічну цінність біорізноманіття та екосистемних послуг, тоді стане очевидним, що кошти, вкладені у</w:t>
            </w:r>
          </w:p>
          <w:p w14:paraId="144757FC"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їх підтримання, значно менші від тих, що необхідні для подолання наслідків втрати цих природних послуг)</w:t>
            </w:r>
          </w:p>
        </w:tc>
      </w:tr>
      <w:tr w:rsidR="008B6F2E" w:rsidRPr="00FA6450" w14:paraId="436674CC" w14:textId="77777777" w:rsidTr="001000BC">
        <w:trPr>
          <w:trHeight w:val="404"/>
        </w:trPr>
        <w:tc>
          <w:tcPr>
            <w:tcW w:w="1416" w:type="pct"/>
            <w:tcBorders>
              <w:top w:val="single" w:sz="4" w:space="0" w:color="000000"/>
              <w:bottom w:val="single" w:sz="4" w:space="0" w:color="000000"/>
              <w:right w:val="single" w:sz="4" w:space="0" w:color="000000"/>
            </w:tcBorders>
          </w:tcPr>
          <w:p w14:paraId="7B1FF847"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Вирішення проблеми харчування</w:t>
            </w:r>
          </w:p>
        </w:tc>
        <w:tc>
          <w:tcPr>
            <w:tcW w:w="3584" w:type="pct"/>
            <w:tcBorders>
              <w:top w:val="single" w:sz="4" w:space="0" w:color="000000"/>
              <w:left w:val="single" w:sz="4" w:space="0" w:color="000000"/>
              <w:bottom w:val="single" w:sz="4" w:space="0" w:color="000000"/>
            </w:tcBorders>
          </w:tcPr>
          <w:p w14:paraId="1484BD7F"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споживання здорової органічної їжі</w:t>
            </w:r>
          </w:p>
        </w:tc>
      </w:tr>
      <w:tr w:rsidR="008B6F2E" w:rsidRPr="00FA6450" w14:paraId="0B3D5595" w14:textId="77777777" w:rsidTr="001000BC">
        <w:trPr>
          <w:trHeight w:val="764"/>
        </w:trPr>
        <w:tc>
          <w:tcPr>
            <w:tcW w:w="1416" w:type="pct"/>
            <w:tcBorders>
              <w:top w:val="single" w:sz="4" w:space="0" w:color="000000"/>
              <w:bottom w:val="single" w:sz="4" w:space="0" w:color="000000"/>
              <w:right w:val="single" w:sz="4" w:space="0" w:color="000000"/>
            </w:tcBorders>
          </w:tcPr>
          <w:p w14:paraId="4C9B90C6"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lastRenderedPageBreak/>
              <w:t>Розподіл землі та планування</w:t>
            </w:r>
          </w:p>
          <w:p w14:paraId="070DCD88"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землекористування</w:t>
            </w:r>
          </w:p>
        </w:tc>
        <w:tc>
          <w:tcPr>
            <w:tcW w:w="3584" w:type="pct"/>
            <w:tcBorders>
              <w:top w:val="single" w:sz="4" w:space="0" w:color="000000"/>
              <w:left w:val="single" w:sz="4" w:space="0" w:color="000000"/>
              <w:bottom w:val="single" w:sz="4" w:space="0" w:color="000000"/>
            </w:tcBorders>
          </w:tcPr>
          <w:p w14:paraId="37928677"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розроблення та впровадження раціональної системи землекористування з урахуванням економічної ефективності, соціальної стабільності та екологічної і ресурсної безпеки</w:t>
            </w:r>
          </w:p>
        </w:tc>
      </w:tr>
      <w:tr w:rsidR="008B6F2E" w:rsidRPr="00FA6450" w14:paraId="431CC8AD" w14:textId="77777777" w:rsidTr="001000BC">
        <w:trPr>
          <w:trHeight w:val="764"/>
        </w:trPr>
        <w:tc>
          <w:tcPr>
            <w:tcW w:w="1416" w:type="pct"/>
            <w:tcBorders>
              <w:top w:val="single" w:sz="4" w:space="0" w:color="000000"/>
              <w:bottom w:val="single" w:sz="4" w:space="0" w:color="000000"/>
              <w:right w:val="single" w:sz="4" w:space="0" w:color="000000"/>
            </w:tcBorders>
          </w:tcPr>
          <w:p w14:paraId="4B08DA25"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Розподіл обмежених ресурсів</w:t>
            </w:r>
          </w:p>
        </w:tc>
        <w:tc>
          <w:tcPr>
            <w:tcW w:w="3584" w:type="pct"/>
            <w:tcBorders>
              <w:top w:val="single" w:sz="4" w:space="0" w:color="000000"/>
              <w:left w:val="single" w:sz="4" w:space="0" w:color="000000"/>
              <w:bottom w:val="single" w:sz="4" w:space="0" w:color="000000"/>
            </w:tcBorders>
          </w:tcPr>
          <w:p w14:paraId="2DA58CF1"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гарантування рівного доступу та рівномірного розподілу енергії, води та їжі між країнами та людьми (спільні дії та скорочення марнотратного споживання можуть зменшити проблему)</w:t>
            </w:r>
          </w:p>
        </w:tc>
      </w:tr>
      <w:tr w:rsidR="008B6F2E" w:rsidRPr="00FA6450" w14:paraId="4B21B8F6" w14:textId="77777777" w:rsidTr="001000BC">
        <w:trPr>
          <w:trHeight w:val="964"/>
        </w:trPr>
        <w:tc>
          <w:tcPr>
            <w:tcW w:w="1416" w:type="pct"/>
            <w:tcBorders>
              <w:top w:val="single" w:sz="4" w:space="0" w:color="000000"/>
              <w:bottom w:val="single" w:sz="4" w:space="0" w:color="000000"/>
              <w:right w:val="single" w:sz="4" w:space="0" w:color="000000"/>
            </w:tcBorders>
          </w:tcPr>
          <w:p w14:paraId="424B677E"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Інвестування у покращення управління, прийняття рішень</w:t>
            </w:r>
          </w:p>
        </w:tc>
        <w:tc>
          <w:tcPr>
            <w:tcW w:w="3584" w:type="pct"/>
            <w:tcBorders>
              <w:top w:val="single" w:sz="4" w:space="0" w:color="000000"/>
              <w:left w:val="single" w:sz="4" w:space="0" w:color="000000"/>
              <w:bottom w:val="single" w:sz="4" w:space="0" w:color="000000"/>
            </w:tcBorders>
          </w:tcPr>
          <w:p w14:paraId="61CE3406" w14:textId="77777777" w:rsidR="008B6F2E" w:rsidRPr="00FA6450" w:rsidRDefault="008B6F2E" w:rsidP="001000BC">
            <w:pPr>
              <w:numPr>
                <w:ilvl w:val="0"/>
                <w:numId w:val="47"/>
              </w:numPr>
              <w:adjustRightInd w:val="0"/>
              <w:snapToGrid w:val="0"/>
              <w:spacing w:after="0" w:line="240" w:lineRule="auto"/>
              <w:ind w:left="0" w:firstLine="0"/>
              <w:jc w:val="both"/>
              <w:rPr>
                <w:rFonts w:ascii="Times New Roman" w:hAnsi="Times New Roman" w:cs="Times New Roman"/>
                <w:sz w:val="16"/>
                <w:szCs w:val="16"/>
              </w:rPr>
            </w:pPr>
            <w:r w:rsidRPr="00FA6450">
              <w:rPr>
                <w:rFonts w:ascii="Times New Roman" w:hAnsi="Times New Roman" w:cs="Times New Roman"/>
                <w:sz w:val="16"/>
                <w:szCs w:val="16"/>
              </w:rPr>
              <w:t>модернізація системи управління з метою досягнення сталого розвитку та збереження біорізноманіття;</w:t>
            </w:r>
          </w:p>
          <w:p w14:paraId="3EAEAF8F" w14:textId="77777777" w:rsidR="008B6F2E" w:rsidRPr="00FA6450" w:rsidRDefault="008B6F2E" w:rsidP="001000BC">
            <w:pPr>
              <w:numPr>
                <w:ilvl w:val="0"/>
                <w:numId w:val="47"/>
              </w:numPr>
              <w:adjustRightInd w:val="0"/>
              <w:snapToGrid w:val="0"/>
              <w:spacing w:after="0" w:line="240" w:lineRule="auto"/>
              <w:ind w:left="0" w:firstLine="0"/>
              <w:jc w:val="both"/>
              <w:rPr>
                <w:rFonts w:ascii="Times New Roman" w:hAnsi="Times New Roman" w:cs="Times New Roman"/>
                <w:sz w:val="16"/>
                <w:szCs w:val="16"/>
              </w:rPr>
            </w:pPr>
            <w:r w:rsidRPr="00FA6450">
              <w:rPr>
                <w:rFonts w:ascii="Times New Roman" w:hAnsi="Times New Roman" w:cs="Times New Roman"/>
                <w:sz w:val="16"/>
                <w:szCs w:val="16"/>
              </w:rPr>
              <w:t>використання сили ринку для проведення змін;</w:t>
            </w:r>
          </w:p>
          <w:p w14:paraId="4E91D192" w14:textId="77777777" w:rsidR="008B6F2E" w:rsidRPr="00FA6450" w:rsidRDefault="008B6F2E" w:rsidP="001000BC">
            <w:pPr>
              <w:numPr>
                <w:ilvl w:val="0"/>
                <w:numId w:val="47"/>
              </w:numPr>
              <w:adjustRightInd w:val="0"/>
              <w:snapToGrid w:val="0"/>
              <w:spacing w:after="0" w:line="240" w:lineRule="auto"/>
              <w:ind w:left="0" w:firstLine="0"/>
              <w:jc w:val="both"/>
              <w:rPr>
                <w:rFonts w:ascii="Times New Roman" w:hAnsi="Times New Roman" w:cs="Times New Roman"/>
                <w:sz w:val="16"/>
                <w:szCs w:val="16"/>
              </w:rPr>
            </w:pPr>
            <w:r w:rsidRPr="00FA6450">
              <w:rPr>
                <w:rFonts w:ascii="Times New Roman" w:hAnsi="Times New Roman" w:cs="Times New Roman"/>
                <w:sz w:val="16"/>
                <w:szCs w:val="16"/>
              </w:rPr>
              <w:t>залучення бізнесу до соціальних заходів</w:t>
            </w:r>
          </w:p>
        </w:tc>
      </w:tr>
      <w:tr w:rsidR="008B6F2E" w:rsidRPr="00FA6450" w14:paraId="7367B939" w14:textId="77777777" w:rsidTr="001000BC">
        <w:trPr>
          <w:trHeight w:val="868"/>
        </w:trPr>
        <w:tc>
          <w:tcPr>
            <w:tcW w:w="1416" w:type="pct"/>
            <w:tcBorders>
              <w:top w:val="single" w:sz="4" w:space="0" w:color="000000"/>
              <w:bottom w:val="single" w:sz="4" w:space="0" w:color="000000"/>
              <w:right w:val="single" w:sz="4" w:space="0" w:color="000000"/>
            </w:tcBorders>
          </w:tcPr>
          <w:p w14:paraId="67C196EC"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Перехід до економіки відновлюваних енергетичних ресурсів</w:t>
            </w:r>
          </w:p>
        </w:tc>
        <w:tc>
          <w:tcPr>
            <w:tcW w:w="3584" w:type="pct"/>
            <w:tcBorders>
              <w:top w:val="single" w:sz="4" w:space="0" w:color="000000"/>
              <w:left w:val="single" w:sz="4" w:space="0" w:color="000000"/>
              <w:bottom w:val="single" w:sz="4" w:space="0" w:color="000000"/>
            </w:tcBorders>
          </w:tcPr>
          <w:p w14:paraId="08C7C89C"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надання «першості» відновлюваним енергетичним ресурсам, що мають стати основними в енергетичній системі всіх країн і поступово витіснити викопне паливо (альтернативні джерела енергії забезпечують додатковими робочими місцями)</w:t>
            </w:r>
          </w:p>
        </w:tc>
      </w:tr>
      <w:tr w:rsidR="008B6F2E" w:rsidRPr="00FA6450" w14:paraId="39B2EC94" w14:textId="77777777" w:rsidTr="001000BC">
        <w:trPr>
          <w:trHeight w:val="971"/>
        </w:trPr>
        <w:tc>
          <w:tcPr>
            <w:tcW w:w="1416" w:type="pct"/>
            <w:tcBorders>
              <w:top w:val="single" w:sz="4" w:space="0" w:color="000000"/>
              <w:bottom w:val="single" w:sz="4" w:space="0" w:color="000000"/>
              <w:right w:val="single" w:sz="4" w:space="0" w:color="000000"/>
            </w:tcBorders>
          </w:tcPr>
          <w:p w14:paraId="6D39B485" w14:textId="77777777" w:rsidR="008B6F2E" w:rsidRDefault="008B6F2E" w:rsidP="001000BC">
            <w:pPr>
              <w:adjustRightInd w:val="0"/>
              <w:snapToGrid w:val="0"/>
              <w:spacing w:after="0" w:line="240" w:lineRule="auto"/>
              <w:jc w:val="both"/>
              <w:rPr>
                <w:rFonts w:ascii="Times New Roman" w:hAnsi="Times New Roman" w:cs="Times New Roman"/>
                <w:sz w:val="16"/>
                <w:szCs w:val="16"/>
              </w:rPr>
            </w:pPr>
          </w:p>
          <w:p w14:paraId="59CF330C"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Початок революції ефективності</w:t>
            </w:r>
          </w:p>
        </w:tc>
        <w:tc>
          <w:tcPr>
            <w:tcW w:w="3584" w:type="pct"/>
            <w:tcBorders>
              <w:top w:val="single" w:sz="4" w:space="0" w:color="000000"/>
              <w:left w:val="single" w:sz="4" w:space="0" w:color="000000"/>
              <w:bottom w:val="single" w:sz="4" w:space="0" w:color="000000"/>
            </w:tcBorders>
          </w:tcPr>
          <w:p w14:paraId="7CE64060" w14:textId="77777777" w:rsidR="008B6F2E" w:rsidRPr="00FA6450" w:rsidRDefault="008B6F2E" w:rsidP="001000BC">
            <w:pPr>
              <w:numPr>
                <w:ilvl w:val="0"/>
                <w:numId w:val="46"/>
              </w:numPr>
              <w:adjustRightInd w:val="0"/>
              <w:snapToGrid w:val="0"/>
              <w:spacing w:after="0" w:line="240" w:lineRule="auto"/>
              <w:ind w:left="0" w:firstLine="0"/>
              <w:jc w:val="both"/>
              <w:rPr>
                <w:rFonts w:ascii="Times New Roman" w:hAnsi="Times New Roman" w:cs="Times New Roman"/>
                <w:sz w:val="16"/>
                <w:szCs w:val="16"/>
              </w:rPr>
            </w:pPr>
            <w:r w:rsidRPr="00FA6450">
              <w:rPr>
                <w:rFonts w:ascii="Times New Roman" w:hAnsi="Times New Roman" w:cs="Times New Roman"/>
                <w:sz w:val="16"/>
                <w:szCs w:val="16"/>
              </w:rPr>
              <w:t>реалізація численних ідей, завдяки яким можна підвищити ефективність використання енергії та матеріалів у сферах: транспорту,</w:t>
            </w:r>
          </w:p>
          <w:p w14:paraId="2840AE18"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домашнього господарства, промисловості;</w:t>
            </w:r>
          </w:p>
          <w:p w14:paraId="54639513"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діяльності комунальних служб.</w:t>
            </w:r>
          </w:p>
          <w:p w14:paraId="0B5AE940" w14:textId="77777777" w:rsidR="008B6F2E" w:rsidRPr="00FA6450" w:rsidRDefault="008B6F2E" w:rsidP="001000BC">
            <w:pPr>
              <w:numPr>
                <w:ilvl w:val="0"/>
                <w:numId w:val="46"/>
              </w:numPr>
              <w:adjustRightInd w:val="0"/>
              <w:snapToGrid w:val="0"/>
              <w:spacing w:after="0" w:line="240" w:lineRule="auto"/>
              <w:ind w:left="0" w:firstLine="0"/>
              <w:jc w:val="both"/>
              <w:rPr>
                <w:rFonts w:ascii="Times New Roman" w:hAnsi="Times New Roman" w:cs="Times New Roman"/>
                <w:sz w:val="16"/>
                <w:szCs w:val="16"/>
              </w:rPr>
            </w:pPr>
            <w:r w:rsidRPr="00FA6450">
              <w:rPr>
                <w:rFonts w:ascii="Times New Roman" w:hAnsi="Times New Roman" w:cs="Times New Roman"/>
                <w:sz w:val="16"/>
                <w:szCs w:val="16"/>
              </w:rPr>
              <w:t>масове запровадження енергоощадних технологій</w:t>
            </w:r>
          </w:p>
        </w:tc>
      </w:tr>
      <w:tr w:rsidR="008B6F2E" w:rsidRPr="00FA6450" w14:paraId="05BE11B8" w14:textId="77777777" w:rsidTr="001000BC">
        <w:trPr>
          <w:trHeight w:val="764"/>
        </w:trPr>
        <w:tc>
          <w:tcPr>
            <w:tcW w:w="1416" w:type="pct"/>
            <w:tcBorders>
              <w:top w:val="single" w:sz="4" w:space="0" w:color="000000"/>
              <w:bottom w:val="single" w:sz="4" w:space="0" w:color="000000"/>
              <w:right w:val="single" w:sz="4" w:space="0" w:color="000000"/>
            </w:tcBorders>
          </w:tcPr>
          <w:p w14:paraId="202AC9AD"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Інвестування в розвиток «зеленої» інфраструктури</w:t>
            </w:r>
          </w:p>
        </w:tc>
        <w:tc>
          <w:tcPr>
            <w:tcW w:w="3584" w:type="pct"/>
            <w:tcBorders>
              <w:top w:val="single" w:sz="4" w:space="0" w:color="000000"/>
              <w:left w:val="single" w:sz="4" w:space="0" w:color="000000"/>
              <w:bottom w:val="single" w:sz="4" w:space="0" w:color="000000"/>
            </w:tcBorders>
          </w:tcPr>
          <w:p w14:paraId="2487B882"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створення «зеленого» транспорту, інформаційної інфраструктури</w:t>
            </w:r>
          </w:p>
        </w:tc>
      </w:tr>
      <w:tr w:rsidR="008B6F2E" w:rsidRPr="00FA6450" w14:paraId="434E0AEC" w14:textId="77777777" w:rsidTr="001000BC">
        <w:trPr>
          <w:trHeight w:val="764"/>
        </w:trPr>
        <w:tc>
          <w:tcPr>
            <w:tcW w:w="1416" w:type="pct"/>
            <w:tcBorders>
              <w:top w:val="single" w:sz="4" w:space="0" w:color="000000"/>
              <w:bottom w:val="single" w:sz="4" w:space="0" w:color="000000"/>
              <w:right w:val="single" w:sz="4" w:space="0" w:color="000000"/>
            </w:tcBorders>
          </w:tcPr>
          <w:p w14:paraId="67BA860D"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Перероблення матеріалів</w:t>
            </w:r>
          </w:p>
        </w:tc>
        <w:tc>
          <w:tcPr>
            <w:tcW w:w="3584" w:type="pct"/>
            <w:tcBorders>
              <w:top w:val="single" w:sz="4" w:space="0" w:color="000000"/>
              <w:left w:val="single" w:sz="4" w:space="0" w:color="000000"/>
              <w:bottom w:val="single" w:sz="4" w:space="0" w:color="000000"/>
            </w:tcBorders>
          </w:tcPr>
          <w:p w14:paraId="79B58220"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акцентування на стійкості, відновлюваності, переробленні й можливості ремонту товарів і речей, що також є основою для створення нових робочих місць</w:t>
            </w:r>
          </w:p>
        </w:tc>
      </w:tr>
      <w:tr w:rsidR="008B6F2E" w:rsidRPr="00FA6450" w14:paraId="2788B06C" w14:textId="77777777" w:rsidTr="001000BC">
        <w:trPr>
          <w:trHeight w:val="747"/>
        </w:trPr>
        <w:tc>
          <w:tcPr>
            <w:tcW w:w="1416" w:type="pct"/>
            <w:tcBorders>
              <w:top w:val="single" w:sz="4" w:space="0" w:color="000000"/>
              <w:right w:val="single" w:sz="4" w:space="0" w:color="000000"/>
            </w:tcBorders>
          </w:tcPr>
          <w:p w14:paraId="2405DEF8"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Поширення добробуту у своїй країні та поза її межами</w:t>
            </w:r>
          </w:p>
        </w:tc>
        <w:tc>
          <w:tcPr>
            <w:tcW w:w="3584" w:type="pct"/>
            <w:tcBorders>
              <w:top w:val="single" w:sz="4" w:space="0" w:color="000000"/>
              <w:left w:val="single" w:sz="4" w:space="0" w:color="000000"/>
            </w:tcBorders>
          </w:tcPr>
          <w:p w14:paraId="1047A4C4"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вироблення системи фінансового регулювання, яка гарантуватиме забезпечення базових потреб більшості людей</w:t>
            </w:r>
          </w:p>
        </w:tc>
      </w:tr>
    </w:tbl>
    <w:p w14:paraId="41E4E212" w14:textId="77777777" w:rsidR="008B6F2E" w:rsidRDefault="008B6F2E" w:rsidP="008B6F2E">
      <w:pPr>
        <w:adjustRightInd w:val="0"/>
        <w:snapToGrid w:val="0"/>
        <w:spacing w:after="0" w:line="240" w:lineRule="auto"/>
        <w:jc w:val="both"/>
        <w:rPr>
          <w:rFonts w:ascii="Times New Roman" w:hAnsi="Times New Roman" w:cs="Times New Roman"/>
          <w:b/>
          <w:bCs/>
          <w:sz w:val="16"/>
          <w:szCs w:val="16"/>
        </w:rPr>
      </w:pPr>
    </w:p>
    <w:p w14:paraId="04C1A748"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державного управління. На його думку, це дозволить знизити рівень бідності та зупинити голод, встановити систему справедливого розподілу праці та її результатів, зменшить небезпеку екологічної катастрофи. Серед необхідних заходів він назвав такі:</w:t>
      </w:r>
    </w:p>
    <w:p w14:paraId="143B275C" w14:textId="77777777" w:rsidR="008B6F2E" w:rsidRPr="006635DC" w:rsidRDefault="008B6F2E" w:rsidP="008B6F2E">
      <w:pPr>
        <w:numPr>
          <w:ilvl w:val="1"/>
          <w:numId w:val="49"/>
        </w:numPr>
        <w:adjustRightInd w:val="0"/>
        <w:snapToGrid w:val="0"/>
        <w:spacing w:after="0" w:line="240" w:lineRule="auto"/>
        <w:ind w:left="0" w:firstLine="567"/>
        <w:jc w:val="both"/>
        <w:rPr>
          <w:rFonts w:ascii="Times New Roman" w:hAnsi="Times New Roman" w:cs="Times New Roman"/>
          <w:sz w:val="20"/>
          <w:szCs w:val="20"/>
        </w:rPr>
      </w:pPr>
      <w:r w:rsidRPr="006635DC">
        <w:rPr>
          <w:rFonts w:ascii="Times New Roman" w:hAnsi="Times New Roman" w:cs="Times New Roman"/>
          <w:sz w:val="20"/>
          <w:szCs w:val="20"/>
        </w:rPr>
        <w:t>стабілізація чисельності населення на рівні 8 млрд осіб або менше –</w:t>
      </w:r>
    </w:p>
    <w:p w14:paraId="3C61C2B9"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«на родину в середньому має припадати дві дитини»;</w:t>
      </w:r>
    </w:p>
    <w:p w14:paraId="0D7805EE" w14:textId="77777777" w:rsidR="008B6F2E" w:rsidRPr="006635DC" w:rsidRDefault="008B6F2E" w:rsidP="008B6F2E">
      <w:pPr>
        <w:numPr>
          <w:ilvl w:val="1"/>
          <w:numId w:val="49"/>
        </w:numPr>
        <w:adjustRightInd w:val="0"/>
        <w:snapToGrid w:val="0"/>
        <w:spacing w:after="0" w:line="240" w:lineRule="auto"/>
        <w:ind w:left="0" w:firstLine="567"/>
        <w:jc w:val="both"/>
        <w:rPr>
          <w:rFonts w:ascii="Times New Roman" w:hAnsi="Times New Roman" w:cs="Times New Roman"/>
          <w:sz w:val="20"/>
          <w:szCs w:val="20"/>
        </w:rPr>
      </w:pPr>
      <w:r w:rsidRPr="006635DC">
        <w:rPr>
          <w:rFonts w:ascii="Times New Roman" w:hAnsi="Times New Roman" w:cs="Times New Roman"/>
          <w:sz w:val="20"/>
          <w:szCs w:val="20"/>
        </w:rPr>
        <w:t>скорочення обсягу викидів парникових газів до 2020 р. на 80 % через запровадження податку на викиди в атмосферу вуглецю в обсязі 200 дол. США за тонну;</w:t>
      </w:r>
    </w:p>
    <w:p w14:paraId="50884351" w14:textId="77777777" w:rsidR="008B6F2E" w:rsidRPr="006635DC" w:rsidRDefault="008B6F2E" w:rsidP="008B6F2E">
      <w:pPr>
        <w:numPr>
          <w:ilvl w:val="1"/>
          <w:numId w:val="49"/>
        </w:numPr>
        <w:adjustRightInd w:val="0"/>
        <w:snapToGrid w:val="0"/>
        <w:spacing w:after="0" w:line="240" w:lineRule="auto"/>
        <w:ind w:left="0" w:firstLine="567"/>
        <w:jc w:val="both"/>
        <w:rPr>
          <w:rFonts w:ascii="Times New Roman" w:hAnsi="Times New Roman" w:cs="Times New Roman"/>
          <w:sz w:val="20"/>
          <w:szCs w:val="20"/>
        </w:rPr>
      </w:pPr>
      <w:r w:rsidRPr="006635DC">
        <w:rPr>
          <w:rFonts w:ascii="Times New Roman" w:hAnsi="Times New Roman" w:cs="Times New Roman"/>
          <w:sz w:val="20"/>
          <w:szCs w:val="20"/>
        </w:rPr>
        <w:t xml:space="preserve">створення Міністерства глобальної безпеки на основі Агентства міжнародного розвитку США, що займатиметься недієздатними та слабкими </w:t>
      </w:r>
      <w:r w:rsidRPr="006635DC">
        <w:rPr>
          <w:rFonts w:ascii="Times New Roman" w:hAnsi="Times New Roman" w:cs="Times New Roman"/>
          <w:sz w:val="20"/>
          <w:szCs w:val="20"/>
        </w:rPr>
        <w:lastRenderedPageBreak/>
        <w:t>державами та фінансуватиметься за рахунок бюджету Міністерства оборони США*.</w:t>
      </w:r>
    </w:p>
    <w:p w14:paraId="168B5BB0"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На думку наукового координатора Глобального плану Маршалла Ф.Й. Радермахера, якщо до 2050 р. населення планети сягне 9-10 млрд осіб, «у світі виникне колосальна потреба в додатковій біомасі, вироблюваній сільським господарством, станеться драматичне загострення дефіциту ресурсів»*.</w:t>
      </w:r>
    </w:p>
    <w:p w14:paraId="7B491992"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У 2009 р. Римський клуб ухвалив текст Амстердамської декларації, у якій було наголошено на необхідності негайних дій щодо відвернення дедалі вищого ризику катастрофічної зміни клімату та винайдення нового шляху світового розвитку на засадах стабільності, адекватного взаємопов’язаним викликам у сфері навколишнього середовища, глобального розвитку та реструктуризації економік .</w:t>
      </w:r>
    </w:p>
    <w:p w14:paraId="3E66DD71"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При цьому значний внесок у просування ідеології «зеленої» економіки зроблено Економічною і соціальною комісією ООН для Азії та Тихого океану (ЕСКАТО ООН). Завдяки її діяльності країни цього регіону на чолі з Республікою Корея є лідерами в запровадженні стратегій «зеленого» зростання. Так, уряд Республіки Корея задекларував своє бачення низьковуглецевого «зеленого» зростання ще у серпні 2008 року, у липні 2009 року оприлюднив Національну стратегію «зеленого» зростання та П’ятирічний план реалізації стратегії на 2009-2013 роки, а у грудні 2009 року прийняв базовий закон Республіки Корея про низьковуглецеве зелене зростання. Для моніторингу проведення масштабних реформ у країні було створено Комітет із «зеленого» зростання при Президентові Республіки.</w:t>
      </w:r>
    </w:p>
    <w:p w14:paraId="0B4A0501"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На думку ЮНЕП (Глобальний Новий Зелений курс ЮНЕП), зобов’язання Республіки Корея інвестувати на підтримку «зеленого» зростання 2% від ВВП, або 83,6 млрд дол. США протягом 2009-2013 років, створило ефект доміно для інших азіатських економік.</w:t>
      </w:r>
    </w:p>
    <w:p w14:paraId="31AEBFBF"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Уряди багатьох розвинутих країн включили цілі, завдання та конкретні інструменти сприяння «зеленому» зростанню у свої довгострокові стратегії або розробили його окремі стратегії.</w:t>
      </w:r>
    </w:p>
    <w:p w14:paraId="17FEC7B3"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Ідеологія «зеленого» зростання була підтримана й урядом США. Так, стратегією  американських  інновацій</w:t>
      </w:r>
    </w:p>
    <w:p w14:paraId="243FD22E"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«Забезпечення нашого економічного зростання і процвітання», оприлюдненою у 2009 році та оновленою в лютому 2011 року, передбачено розгортання революції чистої енергетики, подвоєння постачання відновлювальних джерел енергії, розвиток передових автомобільних технологій, розбудова сучасної фізичної інфраструктури та мереж. Бюджетні пропозиції Президента США на 2012 фінансовий рік за цими пріоритетами були підтримані Конгресом.</w:t>
      </w:r>
    </w:p>
    <w:p w14:paraId="3F6EF25F"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 xml:space="preserve">Одночасно з цим Європейська Комісія навесні 2010 року розпочала розроблення нової стратегії сталого зростання та забезпечення робочими місцями. Її мета – виведення Європи з кризи й підготовка економіки ЄС до трьох основних довгострокових викликів: сталого зростання, </w:t>
      </w:r>
      <w:r w:rsidRPr="006635DC">
        <w:rPr>
          <w:rFonts w:ascii="Times New Roman" w:hAnsi="Times New Roman" w:cs="Times New Roman"/>
          <w:sz w:val="20"/>
          <w:szCs w:val="20"/>
        </w:rPr>
        <w:lastRenderedPageBreak/>
        <w:t>ресурсозбереження та старіння населення. Стратегія отримала назву «Європа-2020» і покликана  замінити  Лісабонській  договір 2000 р. За наріжний камінь було прийнято посилення конкурентоздатності європейської економіки і курс на інновації та «зелене» зростання.</w:t>
      </w:r>
    </w:p>
    <w:p w14:paraId="1E55012D"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Стратегія «Європа-2020» встановлює три взаємопов’язані та взаємопосилюючі пріоритети:</w:t>
      </w:r>
    </w:p>
    <w:p w14:paraId="3E1AECF2"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І) розумне зростання – розвиток економіки, що базується на знаннях та інноваціях як ключових елементах конкурентоздатності;</w:t>
      </w:r>
    </w:p>
    <w:p w14:paraId="2A00D256"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ІІ) стале зростання – розвиток ресурсоощадної, низьковуглецевої та конкурентної економіки;</w:t>
      </w:r>
    </w:p>
    <w:p w14:paraId="7C91FF96"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ІІІ) інклюзивне зростання – сприяння розвитку соціально зорієнтованої і територіально єдиної економіки з високим показником зайнятості.</w:t>
      </w:r>
    </w:p>
    <w:p w14:paraId="07DE6CE0" w14:textId="77777777" w:rsidR="00662914"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Згідно з новою стратегією, кожна країна-член Євросоюзу має розробити національні стратегічні орієнтири для досягнення п’яти загальноєвропейських цілей:</w:t>
      </w:r>
    </w:p>
    <w:p w14:paraId="51282BB6" w14:textId="38FAFB9F" w:rsidR="00662914"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 xml:space="preserve"> </w:t>
      </w:r>
      <w:r w:rsidR="00662914" w:rsidRPr="006635DC">
        <w:rPr>
          <w:rFonts w:ascii="Times New Roman" w:hAnsi="Times New Roman" w:cs="Times New Roman"/>
          <w:sz w:val="20"/>
          <w:szCs w:val="20"/>
        </w:rPr>
        <w:t>І</w:t>
      </w:r>
      <w:r w:rsidRPr="006635DC">
        <w:rPr>
          <w:rFonts w:ascii="Times New Roman" w:hAnsi="Times New Roman" w:cs="Times New Roman"/>
          <w:sz w:val="20"/>
          <w:szCs w:val="20"/>
        </w:rPr>
        <w:t xml:space="preserve">) зростання рівня зайнятості населення віком 20-64 з наявних 65% до 69%; </w:t>
      </w:r>
    </w:p>
    <w:p w14:paraId="660BA79E" w14:textId="35FE9791" w:rsidR="00662914" w:rsidRDefault="00662914"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 xml:space="preserve">ІІ) </w:t>
      </w:r>
      <w:r w:rsidR="008B6F2E" w:rsidRPr="006635DC">
        <w:rPr>
          <w:rFonts w:ascii="Times New Roman" w:hAnsi="Times New Roman" w:cs="Times New Roman"/>
          <w:sz w:val="20"/>
          <w:szCs w:val="20"/>
        </w:rPr>
        <w:t xml:space="preserve">збільшення рівня інвестицій у науково-дослідницьку сферу (до 3% ВВП ЄС); </w:t>
      </w:r>
    </w:p>
    <w:p w14:paraId="08070F3D" w14:textId="1BA07149" w:rsidR="008B6F2E" w:rsidRPr="006635DC" w:rsidRDefault="00662914"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 xml:space="preserve">ІІІ) </w:t>
      </w:r>
      <w:r w:rsidR="008B6F2E" w:rsidRPr="006635DC">
        <w:rPr>
          <w:rFonts w:ascii="Times New Roman" w:hAnsi="Times New Roman" w:cs="Times New Roman"/>
          <w:sz w:val="20"/>
          <w:szCs w:val="20"/>
        </w:rPr>
        <w:t>досягнення цілі «20/20/20»: скорочення до 2020 року викидів парникових газів на 20% і збільшення долі відновних джерел енергії до 20% до загального споживання електроенергії;</w:t>
      </w:r>
    </w:p>
    <w:p w14:paraId="11E04073" w14:textId="678C58E1" w:rsidR="008B6F2E" w:rsidRPr="006635DC" w:rsidRDefault="00662914"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IV</w:t>
      </w:r>
      <w:r w:rsidR="008B6F2E" w:rsidRPr="006635DC">
        <w:rPr>
          <w:rFonts w:ascii="Times New Roman" w:hAnsi="Times New Roman" w:cs="Times New Roman"/>
          <w:sz w:val="20"/>
          <w:szCs w:val="20"/>
        </w:rPr>
        <w:t>) зменшення кількості осіб з незакінченою середньою освітою (з 15% до 10%);</w:t>
      </w:r>
    </w:p>
    <w:p w14:paraId="63153279" w14:textId="7AC795E0" w:rsidR="008B6F2E" w:rsidRPr="006635DC" w:rsidRDefault="00662914"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 xml:space="preserve">V) </w:t>
      </w:r>
      <w:r w:rsidR="008B6F2E" w:rsidRPr="006635DC">
        <w:rPr>
          <w:rFonts w:ascii="Times New Roman" w:hAnsi="Times New Roman" w:cs="Times New Roman"/>
          <w:sz w:val="20"/>
          <w:szCs w:val="20"/>
        </w:rPr>
        <w:t>зменшення кількості європейців, що живуть за межею бідності, на 25% (з 80 до 20 мільйонів).</w:t>
      </w:r>
    </w:p>
    <w:p w14:paraId="3F3E3CB9"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Розвиваючи положення ГЗНК, ЮНЕП присвятив свою нову доповідь 2011 року «назустріч «зеленій економіці»: шлях до сталого розвитку та викорінення бідності», яка конкретизує сутність політики «зеленого» зростання в різних секторах економіки, визначає механізми, бар’єри та рушійні сили для реалізації цієї політики, надає рекомендації щодо «озеленення» десяти ключових секторів економіки з метою спрямування потоків державних і приватних інвестицій на ефективне використання ресурсів.</w:t>
      </w:r>
    </w:p>
    <w:p w14:paraId="51AC6D35"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 xml:space="preserve">оцінка потреб «зеленого» зростання. Як свідчать міжнародні дослідження, порівняно з 1992 роком, коли вперше на Конференції ООН з навколишнього середовища та розвитку в Ріо-де-Жанейро (Бразилія) загрози вичерпання природних ресурсів та погіршання клімату внаслідок людської діяльності були поставлені в ранг глобальних, ситуація у світі суттєво погіршилася. Населення планети росте прискореними темпами, споживаючи все більше природних ресурсів без їх достатнього відновлення, забруднюючи довкілля відходами виробництва і споживання. За офіційними даними, забруднення атмосферного повітря призводить до потепління клімату на 0,2 </w:t>
      </w:r>
      <w:r w:rsidRPr="006635DC">
        <w:rPr>
          <w:rFonts w:ascii="Times New Roman" w:hAnsi="Times New Roman" w:cs="Times New Roman"/>
          <w:sz w:val="20"/>
          <w:szCs w:val="20"/>
        </w:rPr>
        <w:lastRenderedPageBreak/>
        <w:t>градуси Цельсію кожне десятиліття внаслідок зростання емісії СО</w:t>
      </w:r>
      <w:r w:rsidRPr="006635DC">
        <w:rPr>
          <w:rFonts w:ascii="Times New Roman" w:hAnsi="Times New Roman" w:cs="Times New Roman"/>
          <w:sz w:val="20"/>
          <w:szCs w:val="20"/>
          <w:vertAlign w:val="subscript"/>
        </w:rPr>
        <w:t>2</w:t>
      </w:r>
      <w:r w:rsidRPr="006635DC">
        <w:rPr>
          <w:rFonts w:ascii="Times New Roman" w:hAnsi="Times New Roman" w:cs="Times New Roman"/>
          <w:sz w:val="20"/>
          <w:szCs w:val="20"/>
        </w:rPr>
        <w:t xml:space="preserve"> та інших парникових газів, що впливає на появу екстремальних метеорологічних явищ, колапсу та деградацію екосистем. Міжнародні організації публікують песимістичні прогнози погіршання середовища для життя людей в усіх географічних широтах.</w:t>
      </w:r>
    </w:p>
    <w:p w14:paraId="5EE66896"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За міжнародними оцінками, щоб забезпечити збільшуване населення планети продуктами харчування та енергією, необхідне підвищення в у сільському господарстві в середньому на 2% на рік.</w:t>
      </w:r>
    </w:p>
    <w:p w14:paraId="484736A1"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 xml:space="preserve">При цьому, за оцінками ЮНЕП, очікується, що у 2050 році населення буде генерувати більш як 13,1 млрд тонн відходів у зв’язку з підвищенням рівня життя і доходів. Це на 20% більше ніж у 2009 році при тому, що лише 25% обсягу всіх відходів сьогодні утилізується або регенерується. При збереженні сучасних моделей виробництва і споживання ресурсів це призведе до планетарного колапсу та загрозливого погіршання середовища життєдіяльності людей усієї планети. </w:t>
      </w:r>
      <w:r w:rsidRPr="006635DC">
        <w:rPr>
          <w:rFonts w:ascii="Times New Roman" w:hAnsi="Times New Roman" w:cs="Times New Roman"/>
          <w:i/>
          <w:sz w:val="20"/>
          <w:szCs w:val="20"/>
        </w:rPr>
        <w:t>Найбільш небезпечними й водночас імовірними глобальними ризиками на Світовому економічному форумі в Давосі у 2016 році визначили три екологічних ризики: екстремальні погодні явища; недотримання заходів щодо пом'якшення наслідків та адаптації до змін клімату та великі природні катастрофи.</w:t>
      </w:r>
    </w:p>
    <w:p w14:paraId="6F07AD28" w14:textId="654FDE35"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 xml:space="preserve">Усього на сьогодні відповідно до методологічних підходів, застосованих експертами Всесвітнього економічного форуму (Давос), виділяють 28 ризиків, з яких 5 є екологічними (таблиця </w:t>
      </w:r>
      <w:r w:rsidR="006A3179">
        <w:rPr>
          <w:rFonts w:ascii="Times New Roman" w:hAnsi="Times New Roman" w:cs="Times New Roman"/>
          <w:sz w:val="20"/>
          <w:szCs w:val="20"/>
        </w:rPr>
        <w:t>7</w:t>
      </w:r>
      <w:r w:rsidRPr="006635DC">
        <w:rPr>
          <w:rFonts w:ascii="Times New Roman" w:hAnsi="Times New Roman" w:cs="Times New Roman"/>
          <w:sz w:val="20"/>
          <w:szCs w:val="20"/>
        </w:rPr>
        <w:t>.2): глобальні екологічні ризики мають</w:t>
      </w:r>
      <w:r>
        <w:rPr>
          <w:rFonts w:ascii="Times New Roman" w:hAnsi="Times New Roman" w:cs="Times New Roman"/>
          <w:sz w:val="20"/>
          <w:szCs w:val="20"/>
        </w:rPr>
        <w:t xml:space="preserve"> </w:t>
      </w:r>
      <w:r w:rsidRPr="006635DC">
        <w:rPr>
          <w:rFonts w:ascii="Times New Roman" w:hAnsi="Times New Roman" w:cs="Times New Roman"/>
          <w:sz w:val="20"/>
          <w:szCs w:val="20"/>
        </w:rPr>
        <w:t>різну ймовірність  та рівень впливу в різних регіонах світу, тому їх небезпека і ймовірність цих ризиків не є автоматично еквівалентними в окремих країнах. Крім того, суттєво відрізняються екологічні ризики для ведення бізнесу, для населення</w:t>
      </w:r>
      <w:r>
        <w:rPr>
          <w:rFonts w:ascii="Times New Roman" w:hAnsi="Times New Roman" w:cs="Times New Roman"/>
          <w:sz w:val="20"/>
          <w:szCs w:val="20"/>
        </w:rPr>
        <w:t xml:space="preserve"> </w:t>
      </w:r>
      <w:r w:rsidRPr="006635DC">
        <w:rPr>
          <w:rFonts w:ascii="Times New Roman" w:hAnsi="Times New Roman" w:cs="Times New Roman"/>
          <w:sz w:val="20"/>
          <w:szCs w:val="20"/>
        </w:rPr>
        <w:t>та ризики для національної безпеки держави. Екологічні</w:t>
      </w:r>
      <w:r>
        <w:rPr>
          <w:rFonts w:ascii="Times New Roman" w:hAnsi="Times New Roman" w:cs="Times New Roman"/>
          <w:sz w:val="20"/>
          <w:szCs w:val="20"/>
        </w:rPr>
        <w:t xml:space="preserve"> </w:t>
      </w:r>
      <w:r w:rsidRPr="006635DC">
        <w:rPr>
          <w:rFonts w:ascii="Times New Roman" w:hAnsi="Times New Roman" w:cs="Times New Roman"/>
          <w:sz w:val="20"/>
          <w:szCs w:val="20"/>
        </w:rPr>
        <w:t>ризики</w:t>
      </w:r>
      <w:r>
        <w:rPr>
          <w:rFonts w:ascii="Times New Roman" w:hAnsi="Times New Roman" w:cs="Times New Roman"/>
          <w:sz w:val="20"/>
          <w:szCs w:val="20"/>
        </w:rPr>
        <w:t xml:space="preserve">  </w:t>
      </w:r>
      <w:r w:rsidRPr="006635DC">
        <w:rPr>
          <w:rFonts w:ascii="Times New Roman" w:hAnsi="Times New Roman" w:cs="Times New Roman"/>
          <w:sz w:val="20"/>
          <w:szCs w:val="20"/>
        </w:rPr>
        <w:t>відрізняються</w:t>
      </w:r>
      <w:r>
        <w:rPr>
          <w:rFonts w:ascii="Times New Roman" w:hAnsi="Times New Roman" w:cs="Times New Roman"/>
          <w:sz w:val="20"/>
          <w:szCs w:val="20"/>
        </w:rPr>
        <w:t xml:space="preserve"> </w:t>
      </w:r>
      <w:r w:rsidRPr="006635DC">
        <w:rPr>
          <w:rFonts w:ascii="Times New Roman" w:hAnsi="Times New Roman" w:cs="Times New Roman"/>
          <w:sz w:val="20"/>
          <w:szCs w:val="20"/>
        </w:rPr>
        <w:t>не тільки за рівнем, але й за типом впливу, наприклад, для середнього заходу США ризик природних катастроф – це торнадо в степовій зоні, а для України – це повені гірських річок Карпат.</w:t>
      </w:r>
    </w:p>
    <w:p w14:paraId="148ABC3D" w14:textId="77777777" w:rsidR="008B6F2E" w:rsidRPr="006635DC" w:rsidRDefault="008B6F2E" w:rsidP="008B6F2E">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Ризик «недотримання заходів щодо пом'якшення наслідків та адаптації до змін клімату» було визначено на Світовому економічному форумі в Давосі</w:t>
      </w:r>
    </w:p>
    <w:p w14:paraId="2964286F" w14:textId="77777777" w:rsidR="008B6F2E" w:rsidRPr="002A6874" w:rsidRDefault="008B6F2E" w:rsidP="008B6F2E">
      <w:pPr>
        <w:adjustRightInd w:val="0"/>
        <w:snapToGrid w:val="0"/>
        <w:spacing w:after="0" w:line="240" w:lineRule="auto"/>
        <w:ind w:firstLine="567"/>
        <w:jc w:val="both"/>
        <w:rPr>
          <w:rFonts w:ascii="Times New Roman" w:hAnsi="Times New Roman" w:cs="Times New Roman"/>
          <w:sz w:val="16"/>
          <w:szCs w:val="16"/>
        </w:rPr>
      </w:pPr>
    </w:p>
    <w:p w14:paraId="026FED9D" w14:textId="22B9C0F1" w:rsidR="008B6F2E" w:rsidRPr="006A3179" w:rsidRDefault="008B6F2E" w:rsidP="008B6F2E">
      <w:pPr>
        <w:adjustRightInd w:val="0"/>
        <w:snapToGrid w:val="0"/>
        <w:spacing w:after="0" w:line="240" w:lineRule="auto"/>
        <w:ind w:firstLine="567"/>
        <w:jc w:val="right"/>
        <w:rPr>
          <w:rFonts w:ascii="Times New Roman" w:hAnsi="Times New Roman" w:cs="Times New Roman"/>
          <w:sz w:val="20"/>
          <w:szCs w:val="20"/>
        </w:rPr>
      </w:pPr>
      <w:r w:rsidRPr="006A3179">
        <w:rPr>
          <w:rFonts w:ascii="Times New Roman" w:hAnsi="Times New Roman" w:cs="Times New Roman"/>
          <w:sz w:val="20"/>
          <w:szCs w:val="20"/>
        </w:rPr>
        <w:t xml:space="preserve">Таблиця </w:t>
      </w:r>
      <w:r w:rsidR="006A3179" w:rsidRPr="006A3179">
        <w:rPr>
          <w:rFonts w:ascii="Times New Roman" w:hAnsi="Times New Roman" w:cs="Times New Roman"/>
          <w:sz w:val="20"/>
          <w:szCs w:val="20"/>
        </w:rPr>
        <w:t>7</w:t>
      </w:r>
      <w:r w:rsidRPr="006A3179">
        <w:rPr>
          <w:rFonts w:ascii="Times New Roman" w:hAnsi="Times New Roman" w:cs="Times New Roman"/>
          <w:sz w:val="20"/>
          <w:szCs w:val="20"/>
        </w:rPr>
        <w:t>.2</w:t>
      </w:r>
    </w:p>
    <w:p w14:paraId="1AFB57DC" w14:textId="77777777" w:rsidR="008B6F2E" w:rsidRPr="006A3179" w:rsidRDefault="008B6F2E" w:rsidP="008B6F2E">
      <w:pPr>
        <w:adjustRightInd w:val="0"/>
        <w:snapToGrid w:val="0"/>
        <w:spacing w:after="0" w:line="240" w:lineRule="auto"/>
        <w:ind w:firstLine="567"/>
        <w:jc w:val="center"/>
        <w:rPr>
          <w:rFonts w:ascii="Times New Roman" w:hAnsi="Times New Roman" w:cs="Times New Roman"/>
          <w:sz w:val="20"/>
          <w:szCs w:val="20"/>
        </w:rPr>
      </w:pPr>
      <w:r w:rsidRPr="006A3179">
        <w:rPr>
          <w:rFonts w:ascii="Times New Roman" w:hAnsi="Times New Roman" w:cs="Times New Roman"/>
          <w:sz w:val="20"/>
          <w:szCs w:val="20"/>
        </w:rPr>
        <w:t>Глобальні екологічні ризики (2016 р.)</w:t>
      </w:r>
    </w:p>
    <w:tbl>
      <w:tblPr>
        <w:tblpPr w:leftFromText="180" w:rightFromText="180" w:vertAnchor="text" w:tblpY="1"/>
        <w:tblOverlap w:val="never"/>
        <w:tblW w:w="5000" w:type="pct"/>
        <w:tblBorders>
          <w:top w:val="single" w:sz="18" w:space="0" w:color="007B3A"/>
          <w:left w:val="single" w:sz="18" w:space="0" w:color="007B3A"/>
          <w:bottom w:val="single" w:sz="18" w:space="0" w:color="007B3A"/>
          <w:right w:val="single" w:sz="18" w:space="0" w:color="007B3A"/>
          <w:insideH w:val="single" w:sz="18" w:space="0" w:color="007B3A"/>
          <w:insideV w:val="single" w:sz="18" w:space="0" w:color="007B3A"/>
        </w:tblBorders>
        <w:tblCellMar>
          <w:left w:w="0" w:type="dxa"/>
          <w:right w:w="0" w:type="dxa"/>
        </w:tblCellMar>
        <w:tblLook w:val="01E0" w:firstRow="1" w:lastRow="1" w:firstColumn="1" w:lastColumn="1" w:noHBand="0" w:noVBand="0"/>
      </w:tblPr>
      <w:tblGrid>
        <w:gridCol w:w="2467"/>
        <w:gridCol w:w="4176"/>
      </w:tblGrid>
      <w:tr w:rsidR="008B6F2E" w:rsidRPr="00466CF8" w14:paraId="7209D937" w14:textId="77777777" w:rsidTr="001000BC">
        <w:trPr>
          <w:trHeight w:val="234"/>
        </w:trPr>
        <w:tc>
          <w:tcPr>
            <w:tcW w:w="1857" w:type="pct"/>
            <w:tcBorders>
              <w:bottom w:val="single" w:sz="4" w:space="0" w:color="000000"/>
              <w:right w:val="single" w:sz="4" w:space="0" w:color="000000"/>
            </w:tcBorders>
            <w:shd w:val="clear" w:color="auto" w:fill="007B3A"/>
          </w:tcPr>
          <w:p w14:paraId="376652C4" w14:textId="77777777" w:rsidR="008B6F2E" w:rsidRPr="00466CF8" w:rsidRDefault="008B6F2E" w:rsidP="001000BC">
            <w:pPr>
              <w:adjustRightInd w:val="0"/>
              <w:snapToGrid w:val="0"/>
              <w:spacing w:after="0" w:line="240" w:lineRule="auto"/>
              <w:ind w:firstLine="567"/>
              <w:jc w:val="both"/>
              <w:rPr>
                <w:rFonts w:ascii="Times New Roman" w:hAnsi="Times New Roman" w:cs="Times New Roman"/>
                <w:sz w:val="20"/>
                <w:szCs w:val="20"/>
              </w:rPr>
            </w:pPr>
            <w:r w:rsidRPr="00466CF8">
              <w:rPr>
                <w:rFonts w:ascii="Times New Roman" w:hAnsi="Times New Roman" w:cs="Times New Roman"/>
                <w:sz w:val="20"/>
                <w:szCs w:val="20"/>
              </w:rPr>
              <w:t>Назва</w:t>
            </w:r>
          </w:p>
        </w:tc>
        <w:tc>
          <w:tcPr>
            <w:tcW w:w="3143" w:type="pct"/>
            <w:tcBorders>
              <w:left w:val="single" w:sz="4" w:space="0" w:color="000000"/>
              <w:bottom w:val="single" w:sz="4" w:space="0" w:color="000000"/>
            </w:tcBorders>
            <w:shd w:val="clear" w:color="auto" w:fill="007B3A"/>
          </w:tcPr>
          <w:p w14:paraId="6B81EA63" w14:textId="77777777" w:rsidR="008B6F2E" w:rsidRPr="00466CF8" w:rsidRDefault="008B6F2E" w:rsidP="001000BC">
            <w:pPr>
              <w:adjustRightInd w:val="0"/>
              <w:snapToGrid w:val="0"/>
              <w:spacing w:after="0" w:line="240" w:lineRule="auto"/>
              <w:ind w:firstLine="567"/>
              <w:jc w:val="both"/>
              <w:rPr>
                <w:rFonts w:ascii="Times New Roman" w:hAnsi="Times New Roman" w:cs="Times New Roman"/>
                <w:sz w:val="20"/>
                <w:szCs w:val="20"/>
              </w:rPr>
            </w:pPr>
            <w:r w:rsidRPr="00466CF8">
              <w:rPr>
                <w:rFonts w:ascii="Times New Roman" w:hAnsi="Times New Roman" w:cs="Times New Roman"/>
                <w:sz w:val="20"/>
                <w:szCs w:val="20"/>
              </w:rPr>
              <w:t>Опис</w:t>
            </w:r>
          </w:p>
        </w:tc>
      </w:tr>
      <w:tr w:rsidR="008B6F2E" w:rsidRPr="002A6874" w14:paraId="0D26B91E" w14:textId="77777777" w:rsidTr="001000BC">
        <w:trPr>
          <w:trHeight w:val="651"/>
        </w:trPr>
        <w:tc>
          <w:tcPr>
            <w:tcW w:w="1857" w:type="pct"/>
            <w:tcBorders>
              <w:top w:val="single" w:sz="4" w:space="0" w:color="000000"/>
              <w:bottom w:val="single" w:sz="4" w:space="0" w:color="000000"/>
              <w:right w:val="single" w:sz="4" w:space="0" w:color="000000"/>
            </w:tcBorders>
          </w:tcPr>
          <w:p w14:paraId="7EDEF98E" w14:textId="77777777" w:rsidR="008B6F2E" w:rsidRPr="00FA6450" w:rsidRDefault="008B6F2E" w:rsidP="001000BC">
            <w:pPr>
              <w:adjustRightInd w:val="0"/>
              <w:snapToGrid w:val="0"/>
              <w:spacing w:after="0" w:line="240" w:lineRule="auto"/>
              <w:ind w:firstLine="567"/>
              <w:jc w:val="both"/>
              <w:rPr>
                <w:rFonts w:ascii="Times New Roman" w:hAnsi="Times New Roman" w:cs="Times New Roman"/>
                <w:sz w:val="16"/>
                <w:szCs w:val="16"/>
              </w:rPr>
            </w:pPr>
            <w:r w:rsidRPr="00FA6450">
              <w:rPr>
                <w:rFonts w:ascii="Times New Roman" w:hAnsi="Times New Roman" w:cs="Times New Roman"/>
                <w:sz w:val="16"/>
                <w:szCs w:val="16"/>
              </w:rPr>
              <w:t>Екстремальні погодні явища (наприклад, повені, урагани і т.д.)</w:t>
            </w:r>
          </w:p>
        </w:tc>
        <w:tc>
          <w:tcPr>
            <w:tcW w:w="3143" w:type="pct"/>
            <w:tcBorders>
              <w:top w:val="single" w:sz="4" w:space="0" w:color="000000"/>
              <w:left w:val="single" w:sz="4" w:space="0" w:color="000000"/>
              <w:bottom w:val="single" w:sz="4" w:space="0" w:color="000000"/>
            </w:tcBorders>
          </w:tcPr>
          <w:p w14:paraId="4B18B00D" w14:textId="77777777" w:rsidR="008B6F2E" w:rsidRPr="00FA6450" w:rsidRDefault="008B6F2E" w:rsidP="001000BC">
            <w:pPr>
              <w:adjustRightInd w:val="0"/>
              <w:snapToGrid w:val="0"/>
              <w:spacing w:after="0" w:line="240" w:lineRule="auto"/>
              <w:ind w:firstLine="567"/>
              <w:jc w:val="both"/>
              <w:rPr>
                <w:rFonts w:ascii="Times New Roman" w:hAnsi="Times New Roman" w:cs="Times New Roman"/>
                <w:sz w:val="16"/>
                <w:szCs w:val="16"/>
              </w:rPr>
            </w:pPr>
            <w:r w:rsidRPr="00FA6450">
              <w:rPr>
                <w:rFonts w:ascii="Times New Roman" w:hAnsi="Times New Roman" w:cs="Times New Roman"/>
                <w:sz w:val="16"/>
                <w:szCs w:val="16"/>
              </w:rPr>
              <w:t>Завдання шкоди нерухомості, інфраструктурі, природному середовищу та людські втрати в результаті екстремальних погодних явищ</w:t>
            </w:r>
          </w:p>
        </w:tc>
      </w:tr>
      <w:tr w:rsidR="008B6F2E" w:rsidRPr="002A6874" w14:paraId="1BEB7D70" w14:textId="77777777" w:rsidTr="001000BC">
        <w:trPr>
          <w:trHeight w:val="1051"/>
        </w:trPr>
        <w:tc>
          <w:tcPr>
            <w:tcW w:w="1857" w:type="pct"/>
            <w:tcBorders>
              <w:top w:val="single" w:sz="4" w:space="0" w:color="000000"/>
              <w:bottom w:val="single" w:sz="4" w:space="0" w:color="000000"/>
              <w:right w:val="single" w:sz="4" w:space="0" w:color="000000"/>
            </w:tcBorders>
          </w:tcPr>
          <w:p w14:paraId="219877EF" w14:textId="77777777" w:rsidR="008B6F2E" w:rsidRPr="00FA6450" w:rsidRDefault="008B6F2E" w:rsidP="001000BC">
            <w:pPr>
              <w:adjustRightInd w:val="0"/>
              <w:snapToGrid w:val="0"/>
              <w:spacing w:after="0" w:line="240" w:lineRule="auto"/>
              <w:ind w:firstLine="567"/>
              <w:jc w:val="both"/>
              <w:rPr>
                <w:rFonts w:ascii="Times New Roman" w:hAnsi="Times New Roman" w:cs="Times New Roman"/>
                <w:sz w:val="16"/>
                <w:szCs w:val="16"/>
              </w:rPr>
            </w:pPr>
          </w:p>
          <w:p w14:paraId="713DE2F7" w14:textId="77777777" w:rsidR="008B6F2E" w:rsidRPr="00FA6450" w:rsidRDefault="008B6F2E" w:rsidP="001000BC">
            <w:pPr>
              <w:adjustRightInd w:val="0"/>
              <w:snapToGrid w:val="0"/>
              <w:spacing w:after="0" w:line="240" w:lineRule="auto"/>
              <w:ind w:firstLine="567"/>
              <w:jc w:val="both"/>
              <w:rPr>
                <w:rFonts w:ascii="Times New Roman" w:hAnsi="Times New Roman" w:cs="Times New Roman"/>
                <w:sz w:val="16"/>
                <w:szCs w:val="16"/>
              </w:rPr>
            </w:pPr>
            <w:r w:rsidRPr="00FA6450">
              <w:rPr>
                <w:rFonts w:ascii="Times New Roman" w:hAnsi="Times New Roman" w:cs="Times New Roman"/>
                <w:sz w:val="16"/>
                <w:szCs w:val="16"/>
              </w:rPr>
              <w:t>Недотримання заходів щодо пом'якшення наслідків та адаптації до змін клімату</w:t>
            </w:r>
          </w:p>
        </w:tc>
        <w:tc>
          <w:tcPr>
            <w:tcW w:w="3143" w:type="pct"/>
            <w:tcBorders>
              <w:top w:val="single" w:sz="4" w:space="0" w:color="000000"/>
              <w:left w:val="single" w:sz="4" w:space="0" w:color="000000"/>
              <w:bottom w:val="single" w:sz="4" w:space="0" w:color="000000"/>
            </w:tcBorders>
          </w:tcPr>
          <w:p w14:paraId="6E390115" w14:textId="77777777" w:rsidR="008B6F2E" w:rsidRPr="00FA6450" w:rsidRDefault="008B6F2E" w:rsidP="001000BC">
            <w:pPr>
              <w:adjustRightInd w:val="0"/>
              <w:snapToGrid w:val="0"/>
              <w:spacing w:after="0" w:line="240" w:lineRule="auto"/>
              <w:ind w:firstLine="567"/>
              <w:jc w:val="both"/>
              <w:rPr>
                <w:rFonts w:ascii="Times New Roman" w:hAnsi="Times New Roman" w:cs="Times New Roman"/>
                <w:sz w:val="16"/>
                <w:szCs w:val="16"/>
              </w:rPr>
            </w:pPr>
            <w:r w:rsidRPr="00FA6450">
              <w:rPr>
                <w:rFonts w:ascii="Times New Roman" w:hAnsi="Times New Roman" w:cs="Times New Roman"/>
                <w:sz w:val="16"/>
                <w:szCs w:val="16"/>
              </w:rPr>
              <w:t>Уряди та бізнеси не мають змоги забезпечити дотримання або вжити ефективних заходів щодо пом'якшення наслідків зміни клімату, захисту населення й надання допомоги підприємствам впливу зміни клімату для адаптації</w:t>
            </w:r>
          </w:p>
        </w:tc>
      </w:tr>
      <w:tr w:rsidR="008B6F2E" w:rsidRPr="002A6874" w14:paraId="325C0D0E" w14:textId="77777777" w:rsidTr="001000BC">
        <w:trPr>
          <w:trHeight w:val="651"/>
        </w:trPr>
        <w:tc>
          <w:tcPr>
            <w:tcW w:w="1857" w:type="pct"/>
            <w:tcBorders>
              <w:top w:val="single" w:sz="4" w:space="0" w:color="000000"/>
              <w:bottom w:val="single" w:sz="4" w:space="0" w:color="000000"/>
              <w:right w:val="single" w:sz="4" w:space="0" w:color="000000"/>
            </w:tcBorders>
          </w:tcPr>
          <w:p w14:paraId="34380070" w14:textId="77777777" w:rsidR="008B6F2E" w:rsidRPr="00FA6450" w:rsidRDefault="008B6F2E" w:rsidP="001000BC">
            <w:pPr>
              <w:adjustRightInd w:val="0"/>
              <w:snapToGrid w:val="0"/>
              <w:spacing w:after="0" w:line="240" w:lineRule="auto"/>
              <w:ind w:firstLine="567"/>
              <w:jc w:val="both"/>
              <w:rPr>
                <w:rFonts w:ascii="Times New Roman" w:hAnsi="Times New Roman" w:cs="Times New Roman"/>
                <w:sz w:val="16"/>
                <w:szCs w:val="16"/>
              </w:rPr>
            </w:pPr>
            <w:r w:rsidRPr="00FA6450">
              <w:rPr>
                <w:rFonts w:ascii="Times New Roman" w:hAnsi="Times New Roman" w:cs="Times New Roman"/>
                <w:sz w:val="16"/>
                <w:szCs w:val="16"/>
              </w:rPr>
              <w:lastRenderedPageBreak/>
              <w:t>Основні втрати біорізноманіття та руйнація екосистем (суходіл або океан)</w:t>
            </w:r>
          </w:p>
        </w:tc>
        <w:tc>
          <w:tcPr>
            <w:tcW w:w="3143" w:type="pct"/>
            <w:tcBorders>
              <w:top w:val="single" w:sz="4" w:space="0" w:color="000000"/>
              <w:left w:val="single" w:sz="4" w:space="0" w:color="000000"/>
              <w:bottom w:val="single" w:sz="4" w:space="0" w:color="000000"/>
            </w:tcBorders>
          </w:tcPr>
          <w:p w14:paraId="63759EDA" w14:textId="77777777" w:rsidR="008B6F2E" w:rsidRPr="00FA6450" w:rsidRDefault="008B6F2E" w:rsidP="001000BC">
            <w:pPr>
              <w:adjustRightInd w:val="0"/>
              <w:snapToGrid w:val="0"/>
              <w:spacing w:after="0" w:line="240" w:lineRule="auto"/>
              <w:ind w:firstLine="567"/>
              <w:jc w:val="both"/>
              <w:rPr>
                <w:rFonts w:ascii="Times New Roman" w:hAnsi="Times New Roman" w:cs="Times New Roman"/>
                <w:sz w:val="16"/>
                <w:szCs w:val="16"/>
              </w:rPr>
            </w:pPr>
            <w:r w:rsidRPr="00FA6450">
              <w:rPr>
                <w:rFonts w:ascii="Times New Roman" w:hAnsi="Times New Roman" w:cs="Times New Roman"/>
                <w:sz w:val="16"/>
                <w:szCs w:val="16"/>
              </w:rPr>
              <w:t>Незворотні наслідки для навколишнього природного середовища, результатом чого є виснаження ресурсів для існування людства та промисловості</w:t>
            </w:r>
          </w:p>
        </w:tc>
      </w:tr>
      <w:tr w:rsidR="008B6F2E" w:rsidRPr="002A6874" w14:paraId="1F5916D6" w14:textId="77777777" w:rsidTr="001000BC">
        <w:trPr>
          <w:trHeight w:val="851"/>
        </w:trPr>
        <w:tc>
          <w:tcPr>
            <w:tcW w:w="1857" w:type="pct"/>
            <w:tcBorders>
              <w:top w:val="single" w:sz="4" w:space="0" w:color="000000"/>
              <w:bottom w:val="single" w:sz="4" w:space="0" w:color="000000"/>
              <w:right w:val="single" w:sz="4" w:space="0" w:color="000000"/>
            </w:tcBorders>
          </w:tcPr>
          <w:p w14:paraId="106D8F3B" w14:textId="77777777" w:rsidR="008B6F2E" w:rsidRPr="00FA6450" w:rsidRDefault="008B6F2E" w:rsidP="001000BC">
            <w:pPr>
              <w:adjustRightInd w:val="0"/>
              <w:snapToGrid w:val="0"/>
              <w:spacing w:after="0" w:line="240" w:lineRule="auto"/>
              <w:ind w:firstLine="567"/>
              <w:jc w:val="both"/>
              <w:rPr>
                <w:rFonts w:ascii="Times New Roman" w:hAnsi="Times New Roman" w:cs="Times New Roman"/>
                <w:sz w:val="16"/>
                <w:szCs w:val="16"/>
              </w:rPr>
            </w:pPr>
            <w:r w:rsidRPr="00FA6450">
              <w:rPr>
                <w:rFonts w:ascii="Times New Roman" w:hAnsi="Times New Roman" w:cs="Times New Roman"/>
                <w:sz w:val="16"/>
                <w:szCs w:val="16"/>
              </w:rPr>
              <w:t>Великі природні катастрофи (наприклад, землетруси, цунамі, виверження вулкана, геомагнітні бурі)</w:t>
            </w:r>
          </w:p>
        </w:tc>
        <w:tc>
          <w:tcPr>
            <w:tcW w:w="3143" w:type="pct"/>
            <w:tcBorders>
              <w:top w:val="single" w:sz="4" w:space="0" w:color="000000"/>
              <w:left w:val="single" w:sz="4" w:space="0" w:color="000000"/>
              <w:bottom w:val="single" w:sz="4" w:space="0" w:color="000000"/>
            </w:tcBorders>
          </w:tcPr>
          <w:p w14:paraId="561C864D" w14:textId="77777777" w:rsidR="008B6F2E" w:rsidRPr="00FA6450" w:rsidRDefault="008B6F2E" w:rsidP="001000BC">
            <w:pPr>
              <w:adjustRightInd w:val="0"/>
              <w:snapToGrid w:val="0"/>
              <w:spacing w:after="0" w:line="240" w:lineRule="auto"/>
              <w:ind w:firstLine="567"/>
              <w:jc w:val="both"/>
              <w:rPr>
                <w:rFonts w:ascii="Times New Roman" w:hAnsi="Times New Roman" w:cs="Times New Roman"/>
                <w:sz w:val="16"/>
                <w:szCs w:val="16"/>
              </w:rPr>
            </w:pPr>
            <w:r w:rsidRPr="00FA6450">
              <w:rPr>
                <w:rFonts w:ascii="Times New Roman" w:hAnsi="Times New Roman" w:cs="Times New Roman"/>
                <w:sz w:val="16"/>
                <w:szCs w:val="16"/>
              </w:rPr>
              <w:t>Завдання шкоди нерухомості, інфраструктурі, природному середовищу та людські витрати, викликані геофізичним впливом – землетруси, вулканічна активність, зсуви, цунамі та геомагнітні бурі</w:t>
            </w:r>
          </w:p>
        </w:tc>
      </w:tr>
      <w:tr w:rsidR="008B6F2E" w:rsidRPr="002A6874" w14:paraId="543E123F" w14:textId="77777777" w:rsidTr="001000BC">
        <w:trPr>
          <w:trHeight w:val="833"/>
        </w:trPr>
        <w:tc>
          <w:tcPr>
            <w:tcW w:w="1857" w:type="pct"/>
            <w:tcBorders>
              <w:top w:val="single" w:sz="4" w:space="0" w:color="000000"/>
              <w:right w:val="single" w:sz="4" w:space="0" w:color="000000"/>
            </w:tcBorders>
          </w:tcPr>
          <w:p w14:paraId="37CDC192" w14:textId="77777777" w:rsidR="008B6F2E" w:rsidRPr="00FA6450" w:rsidRDefault="008B6F2E" w:rsidP="001000BC">
            <w:pPr>
              <w:adjustRightInd w:val="0"/>
              <w:snapToGrid w:val="0"/>
              <w:spacing w:after="0" w:line="240" w:lineRule="auto"/>
              <w:ind w:firstLine="567"/>
              <w:jc w:val="both"/>
              <w:rPr>
                <w:rFonts w:ascii="Times New Roman" w:hAnsi="Times New Roman" w:cs="Times New Roman"/>
                <w:sz w:val="16"/>
                <w:szCs w:val="16"/>
              </w:rPr>
            </w:pPr>
            <w:r w:rsidRPr="00FA6450">
              <w:rPr>
                <w:rFonts w:ascii="Times New Roman" w:hAnsi="Times New Roman" w:cs="Times New Roman"/>
                <w:sz w:val="16"/>
                <w:szCs w:val="16"/>
              </w:rPr>
              <w:t>Штучні екологічні катастрофи (наприклад, розливів нафти, радіоактивне забруднення і т.д.)</w:t>
            </w:r>
          </w:p>
        </w:tc>
        <w:tc>
          <w:tcPr>
            <w:tcW w:w="3143" w:type="pct"/>
            <w:tcBorders>
              <w:top w:val="single" w:sz="4" w:space="0" w:color="000000"/>
              <w:left w:val="single" w:sz="4" w:space="0" w:color="000000"/>
            </w:tcBorders>
          </w:tcPr>
          <w:p w14:paraId="6B87CFDC" w14:textId="77777777" w:rsidR="008B6F2E" w:rsidRPr="00FA6450" w:rsidRDefault="008B6F2E" w:rsidP="001000BC">
            <w:pPr>
              <w:adjustRightInd w:val="0"/>
              <w:snapToGrid w:val="0"/>
              <w:spacing w:after="0" w:line="240" w:lineRule="auto"/>
              <w:ind w:firstLine="567"/>
              <w:jc w:val="both"/>
              <w:rPr>
                <w:rFonts w:ascii="Times New Roman" w:hAnsi="Times New Roman" w:cs="Times New Roman"/>
                <w:sz w:val="16"/>
                <w:szCs w:val="16"/>
              </w:rPr>
            </w:pPr>
            <w:r w:rsidRPr="00FA6450">
              <w:rPr>
                <w:rFonts w:ascii="Times New Roman" w:hAnsi="Times New Roman" w:cs="Times New Roman"/>
                <w:sz w:val="16"/>
                <w:szCs w:val="16"/>
              </w:rPr>
              <w:t>Нездатність запобігти великим техногенним катастрофам, шкоді для життя і здоров'я людей, інфраструктурі, нерухомості, економічній діяльності та навколишньому природному середовищу</w:t>
            </w:r>
          </w:p>
        </w:tc>
      </w:tr>
    </w:tbl>
    <w:p w14:paraId="6C4EE74E" w14:textId="77777777" w:rsidR="008B6F2E" w:rsidRPr="00832977" w:rsidRDefault="008B6F2E" w:rsidP="008B6F2E">
      <w:pPr>
        <w:adjustRightInd w:val="0"/>
        <w:snapToGrid w:val="0"/>
        <w:spacing w:after="0" w:line="240" w:lineRule="auto"/>
        <w:ind w:firstLine="567"/>
        <w:jc w:val="both"/>
        <w:rPr>
          <w:rFonts w:ascii="Times New Roman" w:hAnsi="Times New Roman" w:cs="Times New Roman"/>
          <w:sz w:val="16"/>
          <w:szCs w:val="16"/>
        </w:rPr>
      </w:pPr>
    </w:p>
    <w:p w14:paraId="3FC379F3" w14:textId="62F4DBB7" w:rsidR="008B6F2E" w:rsidRPr="00C50434" w:rsidRDefault="008B6F2E" w:rsidP="00A6446B">
      <w:pPr>
        <w:adjustRightInd w:val="0"/>
        <w:snapToGrid w:val="0"/>
        <w:spacing w:after="0" w:line="240" w:lineRule="auto"/>
        <w:ind w:firstLine="567"/>
        <w:jc w:val="both"/>
        <w:rPr>
          <w:rFonts w:ascii="Times New Roman" w:hAnsi="Times New Roman" w:cs="Times New Roman"/>
          <w:sz w:val="20"/>
          <w:szCs w:val="20"/>
        </w:rPr>
      </w:pPr>
      <w:r w:rsidRPr="006635DC">
        <w:rPr>
          <w:rFonts w:ascii="Times New Roman" w:hAnsi="Times New Roman" w:cs="Times New Roman"/>
          <w:sz w:val="20"/>
          <w:szCs w:val="20"/>
        </w:rPr>
        <w:t>у 2016 році найнебезпечнішим глобальним ризиком у світовому форматі. Сама ідея зміни клімату як стійкого тривалого тренду була визначена в 60-ті роки минулого століття і поступово набула всесвітнього визнання на кліматичному саміті в Парижі у 2015 році, коли керівники 195 країн світу приєдналися до декларації про усвідомлення змін клімату та необхідності дотримання заходів щодо пом'якшення наслідків та адаптації до змін клімату. Така ситуація потребує міжнародної кооперації фінансових зусиль у глобальному масштабі.</w:t>
      </w:r>
      <w:r w:rsidR="00A6446B">
        <w:rPr>
          <w:rFonts w:ascii="Times New Roman" w:hAnsi="Times New Roman" w:cs="Times New Roman"/>
          <w:sz w:val="20"/>
          <w:szCs w:val="20"/>
        </w:rPr>
        <w:t xml:space="preserve"> </w:t>
      </w:r>
      <w:r w:rsidRPr="00C50434">
        <w:rPr>
          <w:rFonts w:ascii="Times New Roman" w:hAnsi="Times New Roman" w:cs="Times New Roman"/>
          <w:sz w:val="20"/>
          <w:szCs w:val="20"/>
        </w:rPr>
        <w:t xml:space="preserve">«зелений» сценарій, за прогнозами ЮНЕП, передбачає щорічні витрати на «озеленення» світової економіки від 1,05 до 2,59 трлн дол. США, що становить менш як 1/10 всіх річних світових інвестицій (табл. </w:t>
      </w:r>
      <w:r w:rsidR="006A3179">
        <w:rPr>
          <w:rFonts w:ascii="Times New Roman" w:hAnsi="Times New Roman" w:cs="Times New Roman"/>
          <w:sz w:val="20"/>
          <w:szCs w:val="20"/>
        </w:rPr>
        <w:t>7</w:t>
      </w:r>
      <w:r w:rsidRPr="00C50434">
        <w:rPr>
          <w:rFonts w:ascii="Times New Roman" w:hAnsi="Times New Roman" w:cs="Times New Roman"/>
          <w:sz w:val="20"/>
          <w:szCs w:val="20"/>
        </w:rPr>
        <w:t>.3).</w:t>
      </w:r>
    </w:p>
    <w:p w14:paraId="492A2543" w14:textId="77777777" w:rsidR="008B6F2E" w:rsidRPr="00C50434" w:rsidRDefault="008B6F2E" w:rsidP="008B6F2E">
      <w:pPr>
        <w:adjustRightInd w:val="0"/>
        <w:snapToGrid w:val="0"/>
        <w:spacing w:after="0" w:line="240" w:lineRule="auto"/>
        <w:ind w:firstLine="567"/>
        <w:jc w:val="both"/>
        <w:rPr>
          <w:rFonts w:ascii="Times New Roman" w:hAnsi="Times New Roman" w:cs="Times New Roman"/>
          <w:sz w:val="20"/>
          <w:szCs w:val="20"/>
        </w:rPr>
      </w:pPr>
      <w:r w:rsidRPr="00C50434">
        <w:rPr>
          <w:rFonts w:ascii="Times New Roman" w:hAnsi="Times New Roman" w:cs="Times New Roman"/>
          <w:sz w:val="20"/>
          <w:szCs w:val="20"/>
        </w:rPr>
        <w:t>При цьому світовий попит на енергію зросте на 36% протягом 2008-2035 років згідно зі Світовим енергетичним оглядом 2010 року Міжнародного енергетичного агентства.</w:t>
      </w:r>
    </w:p>
    <w:p w14:paraId="70E447D7" w14:textId="77777777" w:rsidR="008B6F2E" w:rsidRPr="00C50434" w:rsidRDefault="008B6F2E" w:rsidP="008B6F2E">
      <w:pPr>
        <w:adjustRightInd w:val="0"/>
        <w:snapToGrid w:val="0"/>
        <w:spacing w:after="0" w:line="240" w:lineRule="auto"/>
        <w:ind w:firstLine="567"/>
        <w:jc w:val="both"/>
        <w:rPr>
          <w:rFonts w:ascii="Times New Roman" w:hAnsi="Times New Roman" w:cs="Times New Roman"/>
          <w:sz w:val="20"/>
          <w:szCs w:val="20"/>
        </w:rPr>
      </w:pPr>
      <w:r w:rsidRPr="00C50434">
        <w:rPr>
          <w:rFonts w:ascii="Times New Roman" w:hAnsi="Times New Roman" w:cs="Times New Roman"/>
          <w:sz w:val="20"/>
          <w:szCs w:val="20"/>
        </w:rPr>
        <w:t>Розрахунки Всесвітньої бізнес-ради із сталого розвитку, здійснені в рамках проекту «Бачення–2050», доводять, що традиційний шлях розвитку світової економіки за «звичайною бізнес-стратегією» вимагатиме у 2050 році споживання природних ресурсів в обсязі, еквівалентному 2,3 сьогоднішнього обсягу ресурсів планети.</w:t>
      </w:r>
    </w:p>
    <w:p w14:paraId="7F091167" w14:textId="0ED7428A" w:rsidR="008B6F2E" w:rsidRPr="00C50434" w:rsidRDefault="008B6F2E" w:rsidP="006A3179">
      <w:pPr>
        <w:adjustRightInd w:val="0"/>
        <w:snapToGrid w:val="0"/>
        <w:spacing w:after="0" w:line="240" w:lineRule="auto"/>
        <w:ind w:firstLine="567"/>
        <w:jc w:val="both"/>
        <w:rPr>
          <w:rFonts w:ascii="Times New Roman" w:hAnsi="Times New Roman" w:cs="Times New Roman"/>
          <w:sz w:val="20"/>
          <w:szCs w:val="20"/>
        </w:rPr>
      </w:pPr>
      <w:r w:rsidRPr="00C50434">
        <w:rPr>
          <w:rFonts w:ascii="Times New Roman" w:hAnsi="Times New Roman" w:cs="Times New Roman"/>
          <w:sz w:val="20"/>
          <w:szCs w:val="20"/>
        </w:rPr>
        <w:t>У зв’язку з цим глобальним викликом міжнародні організації докладають</w:t>
      </w:r>
      <w:r w:rsidR="006A3179">
        <w:rPr>
          <w:rFonts w:ascii="Times New Roman" w:hAnsi="Times New Roman" w:cs="Times New Roman"/>
          <w:sz w:val="20"/>
          <w:szCs w:val="20"/>
        </w:rPr>
        <w:t xml:space="preserve"> </w:t>
      </w:r>
      <w:r w:rsidRPr="00C50434">
        <w:rPr>
          <w:rFonts w:ascii="Times New Roman" w:hAnsi="Times New Roman" w:cs="Times New Roman"/>
          <w:sz w:val="20"/>
          <w:szCs w:val="20"/>
        </w:rPr>
        <w:t>зусиль  щодо  впровадження  ідеології</w:t>
      </w:r>
      <w:r w:rsidR="006A3179">
        <w:rPr>
          <w:rFonts w:ascii="Times New Roman" w:hAnsi="Times New Roman" w:cs="Times New Roman"/>
          <w:sz w:val="20"/>
          <w:szCs w:val="20"/>
        </w:rPr>
        <w:t xml:space="preserve"> </w:t>
      </w:r>
      <w:r w:rsidRPr="00C50434">
        <w:rPr>
          <w:rFonts w:ascii="Times New Roman" w:hAnsi="Times New Roman" w:cs="Times New Roman"/>
          <w:sz w:val="20"/>
          <w:szCs w:val="20"/>
        </w:rPr>
        <w:t>«зеленого» зростання шляхом: упровадження нових ресурсноефективних та більш чистих технологій; збільшення ефективності сільського та лісового господарства; покращання екологічної інфраструктури; корекції суспільних цінностей та екологізованої поведінки людей; пошуку рішень щодо кліматичної політики; створення зелених робочих місць. глобальні виклики.</w:t>
      </w:r>
    </w:p>
    <w:p w14:paraId="19EDA70A" w14:textId="77777777" w:rsidR="008B6F2E" w:rsidRPr="00C50434" w:rsidRDefault="008B6F2E" w:rsidP="008B6F2E">
      <w:pPr>
        <w:adjustRightInd w:val="0"/>
        <w:snapToGrid w:val="0"/>
        <w:spacing w:after="0" w:line="240" w:lineRule="auto"/>
        <w:ind w:firstLine="567"/>
        <w:jc w:val="both"/>
        <w:rPr>
          <w:rFonts w:ascii="Times New Roman" w:hAnsi="Times New Roman" w:cs="Times New Roman"/>
          <w:sz w:val="20"/>
          <w:szCs w:val="20"/>
        </w:rPr>
      </w:pPr>
      <w:r w:rsidRPr="00C50434">
        <w:rPr>
          <w:rFonts w:ascii="Times New Roman" w:hAnsi="Times New Roman" w:cs="Times New Roman"/>
          <w:sz w:val="20"/>
          <w:szCs w:val="20"/>
        </w:rPr>
        <w:t>Двадцятип'ятирічний період, який минув після Конференції ООН з навколишнього середовища і розвитку в Ріо-де-Жанейро (1992 р.), позначився прискореною глобалізацією</w:t>
      </w:r>
      <w:r>
        <w:rPr>
          <w:rFonts w:ascii="Times New Roman" w:hAnsi="Times New Roman" w:cs="Times New Roman"/>
          <w:sz w:val="20"/>
          <w:szCs w:val="20"/>
        </w:rPr>
        <w:t xml:space="preserve"> </w:t>
      </w:r>
      <w:r w:rsidRPr="00C50434">
        <w:rPr>
          <w:rFonts w:ascii="Times New Roman" w:hAnsi="Times New Roman" w:cs="Times New Roman"/>
          <w:sz w:val="20"/>
          <w:szCs w:val="20"/>
        </w:rPr>
        <w:t>міжнародних</w:t>
      </w:r>
      <w:r>
        <w:rPr>
          <w:rFonts w:ascii="Times New Roman" w:hAnsi="Times New Roman" w:cs="Times New Roman"/>
          <w:sz w:val="20"/>
          <w:szCs w:val="20"/>
        </w:rPr>
        <w:t xml:space="preserve"> </w:t>
      </w:r>
      <w:r w:rsidRPr="00C50434">
        <w:rPr>
          <w:rFonts w:ascii="Times New Roman" w:hAnsi="Times New Roman" w:cs="Times New Roman"/>
          <w:sz w:val="20"/>
          <w:szCs w:val="20"/>
        </w:rPr>
        <w:t>відносин</w:t>
      </w:r>
      <w:r>
        <w:rPr>
          <w:rFonts w:ascii="Times New Roman" w:hAnsi="Times New Roman" w:cs="Times New Roman"/>
          <w:sz w:val="20"/>
          <w:szCs w:val="20"/>
        </w:rPr>
        <w:t xml:space="preserve"> </w:t>
      </w:r>
      <w:r w:rsidRPr="00C50434">
        <w:rPr>
          <w:rFonts w:ascii="Times New Roman" w:hAnsi="Times New Roman" w:cs="Times New Roman"/>
          <w:sz w:val="20"/>
          <w:szCs w:val="20"/>
        </w:rPr>
        <w:t xml:space="preserve">у сфері політики, світової торгівлі, іноземних інвестицій та на ринках капіталу. Глобалізація створила нові можливості для розвитку міжнародної спільноти, але й поставила нові серйозні виклики. За оцінками експертів, вплив глобалізації на економіки країн був неоднаковим, і лише обмежена кількість країн змогла забезпечити </w:t>
      </w:r>
    </w:p>
    <w:p w14:paraId="4D2DDF9B" w14:textId="77777777" w:rsidR="008B6F2E" w:rsidRDefault="008B6F2E" w:rsidP="008B6F2E">
      <w:pPr>
        <w:adjustRightInd w:val="0"/>
        <w:snapToGrid w:val="0"/>
        <w:spacing w:after="0" w:line="240" w:lineRule="auto"/>
        <w:ind w:firstLine="567"/>
        <w:jc w:val="both"/>
        <w:rPr>
          <w:rFonts w:ascii="Times New Roman" w:hAnsi="Times New Roman" w:cs="Times New Roman"/>
          <w:b/>
          <w:bCs/>
          <w:sz w:val="16"/>
          <w:szCs w:val="16"/>
        </w:rPr>
      </w:pPr>
    </w:p>
    <w:p w14:paraId="3D8968C6" w14:textId="77777777" w:rsidR="006A3179" w:rsidRDefault="006A3179" w:rsidP="008B6F2E">
      <w:pPr>
        <w:adjustRightInd w:val="0"/>
        <w:snapToGrid w:val="0"/>
        <w:spacing w:after="0" w:line="240" w:lineRule="auto"/>
        <w:ind w:firstLine="567"/>
        <w:jc w:val="both"/>
        <w:rPr>
          <w:rFonts w:ascii="Times New Roman" w:hAnsi="Times New Roman" w:cs="Times New Roman"/>
          <w:b/>
          <w:bCs/>
          <w:sz w:val="16"/>
          <w:szCs w:val="16"/>
        </w:rPr>
      </w:pPr>
    </w:p>
    <w:p w14:paraId="27FD4DC0" w14:textId="77777777" w:rsidR="00662914" w:rsidRDefault="00662914" w:rsidP="008B6F2E">
      <w:pPr>
        <w:adjustRightInd w:val="0"/>
        <w:snapToGrid w:val="0"/>
        <w:spacing w:after="0" w:line="240" w:lineRule="auto"/>
        <w:ind w:firstLine="567"/>
        <w:jc w:val="both"/>
        <w:rPr>
          <w:rFonts w:ascii="Times New Roman" w:hAnsi="Times New Roman" w:cs="Times New Roman"/>
          <w:b/>
          <w:bCs/>
          <w:sz w:val="16"/>
          <w:szCs w:val="16"/>
        </w:rPr>
      </w:pPr>
    </w:p>
    <w:p w14:paraId="7ED66A35" w14:textId="77777777" w:rsidR="00662914" w:rsidRPr="00FA6450" w:rsidRDefault="00662914" w:rsidP="008B6F2E">
      <w:pPr>
        <w:adjustRightInd w:val="0"/>
        <w:snapToGrid w:val="0"/>
        <w:spacing w:after="0" w:line="240" w:lineRule="auto"/>
        <w:ind w:firstLine="567"/>
        <w:jc w:val="both"/>
        <w:rPr>
          <w:rFonts w:ascii="Times New Roman" w:hAnsi="Times New Roman" w:cs="Times New Roman"/>
          <w:b/>
          <w:bCs/>
          <w:sz w:val="16"/>
          <w:szCs w:val="16"/>
        </w:rPr>
      </w:pPr>
    </w:p>
    <w:p w14:paraId="73E82741" w14:textId="5184FCA6" w:rsidR="008B6F2E" w:rsidRPr="006A3179" w:rsidRDefault="008B6F2E" w:rsidP="008B6F2E">
      <w:pPr>
        <w:adjustRightInd w:val="0"/>
        <w:snapToGrid w:val="0"/>
        <w:spacing w:after="0" w:line="240" w:lineRule="auto"/>
        <w:ind w:firstLine="567"/>
        <w:jc w:val="right"/>
        <w:rPr>
          <w:rFonts w:ascii="Times New Roman" w:hAnsi="Times New Roman" w:cs="Times New Roman"/>
          <w:sz w:val="20"/>
          <w:szCs w:val="20"/>
        </w:rPr>
      </w:pPr>
      <w:r w:rsidRPr="006A3179">
        <w:rPr>
          <w:rFonts w:ascii="Times New Roman" w:hAnsi="Times New Roman" w:cs="Times New Roman"/>
          <w:sz w:val="20"/>
          <w:szCs w:val="20"/>
        </w:rPr>
        <w:t xml:space="preserve">Таблиця </w:t>
      </w:r>
      <w:r w:rsidR="006A3179" w:rsidRPr="006A3179">
        <w:rPr>
          <w:rFonts w:ascii="Times New Roman" w:hAnsi="Times New Roman" w:cs="Times New Roman"/>
          <w:sz w:val="20"/>
          <w:szCs w:val="20"/>
        </w:rPr>
        <w:t>7</w:t>
      </w:r>
      <w:r w:rsidRPr="006A3179">
        <w:rPr>
          <w:rFonts w:ascii="Times New Roman" w:hAnsi="Times New Roman" w:cs="Times New Roman"/>
          <w:sz w:val="20"/>
          <w:szCs w:val="20"/>
        </w:rPr>
        <w:t>.3</w:t>
      </w:r>
    </w:p>
    <w:p w14:paraId="2C36E2AC" w14:textId="77777777" w:rsidR="008B6F2E" w:rsidRPr="006A3179" w:rsidRDefault="008B6F2E" w:rsidP="008B6F2E">
      <w:pPr>
        <w:adjustRightInd w:val="0"/>
        <w:snapToGrid w:val="0"/>
        <w:spacing w:after="0" w:line="240" w:lineRule="auto"/>
        <w:ind w:firstLine="567"/>
        <w:jc w:val="both"/>
        <w:rPr>
          <w:rFonts w:ascii="Times New Roman" w:hAnsi="Times New Roman" w:cs="Times New Roman"/>
          <w:sz w:val="20"/>
          <w:szCs w:val="20"/>
        </w:rPr>
      </w:pPr>
      <w:r w:rsidRPr="006A3179">
        <w:rPr>
          <w:rFonts w:ascii="Times New Roman" w:hAnsi="Times New Roman" w:cs="Times New Roman"/>
          <w:sz w:val="20"/>
          <w:szCs w:val="20"/>
        </w:rPr>
        <w:t>Завдання та кінцеві цілі державної політики в зелених секторах економіки (за оцінками ЮНЕП)</w:t>
      </w:r>
    </w:p>
    <w:p w14:paraId="50A2B647" w14:textId="77777777" w:rsidR="008B6F2E" w:rsidRPr="00FA6450" w:rsidRDefault="008B6F2E" w:rsidP="008B6F2E">
      <w:pPr>
        <w:adjustRightInd w:val="0"/>
        <w:snapToGrid w:val="0"/>
        <w:spacing w:after="0" w:line="240" w:lineRule="auto"/>
        <w:ind w:firstLine="567"/>
        <w:jc w:val="both"/>
        <w:rPr>
          <w:rFonts w:ascii="Times New Roman" w:hAnsi="Times New Roman" w:cs="Times New Roman"/>
          <w:b/>
          <w:bCs/>
          <w:sz w:val="16"/>
          <w:szCs w:val="16"/>
        </w:rPr>
      </w:pPr>
    </w:p>
    <w:tbl>
      <w:tblPr>
        <w:tblW w:w="5000" w:type="pct"/>
        <w:tblBorders>
          <w:top w:val="single" w:sz="18" w:space="0" w:color="007B3A"/>
          <w:left w:val="single" w:sz="18" w:space="0" w:color="007B3A"/>
          <w:bottom w:val="single" w:sz="18" w:space="0" w:color="007B3A"/>
          <w:right w:val="single" w:sz="18" w:space="0" w:color="007B3A"/>
          <w:insideH w:val="single" w:sz="18" w:space="0" w:color="007B3A"/>
          <w:insideV w:val="single" w:sz="18" w:space="0" w:color="007B3A"/>
        </w:tblBorders>
        <w:tblCellMar>
          <w:left w:w="0" w:type="dxa"/>
          <w:right w:w="0" w:type="dxa"/>
        </w:tblCellMar>
        <w:tblLook w:val="01E0" w:firstRow="1" w:lastRow="1" w:firstColumn="1" w:lastColumn="1" w:noHBand="0" w:noVBand="0"/>
      </w:tblPr>
      <w:tblGrid>
        <w:gridCol w:w="407"/>
        <w:gridCol w:w="1551"/>
        <w:gridCol w:w="2447"/>
        <w:gridCol w:w="2284"/>
      </w:tblGrid>
      <w:tr w:rsidR="008B6F2E" w:rsidRPr="00832977" w14:paraId="76AF4AE5" w14:textId="77777777" w:rsidTr="001000BC">
        <w:trPr>
          <w:trHeight w:val="253"/>
        </w:trPr>
        <w:tc>
          <w:tcPr>
            <w:tcW w:w="304" w:type="pct"/>
            <w:tcBorders>
              <w:left w:val="nil"/>
              <w:bottom w:val="single" w:sz="4" w:space="0" w:color="000000"/>
              <w:right w:val="single" w:sz="4" w:space="0" w:color="000000"/>
            </w:tcBorders>
            <w:shd w:val="clear" w:color="auto" w:fill="007B3A"/>
          </w:tcPr>
          <w:p w14:paraId="0D379AD0"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tc>
        <w:tc>
          <w:tcPr>
            <w:tcW w:w="1159" w:type="pct"/>
            <w:tcBorders>
              <w:left w:val="single" w:sz="4" w:space="0" w:color="000000"/>
              <w:bottom w:val="single" w:sz="4" w:space="0" w:color="000000"/>
              <w:right w:val="single" w:sz="4" w:space="0" w:color="000000"/>
            </w:tcBorders>
            <w:shd w:val="clear" w:color="auto" w:fill="007B3A"/>
          </w:tcPr>
          <w:p w14:paraId="293AC8F3"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Сектор економіки</w:t>
            </w:r>
          </w:p>
        </w:tc>
        <w:tc>
          <w:tcPr>
            <w:tcW w:w="1829" w:type="pct"/>
            <w:tcBorders>
              <w:left w:val="single" w:sz="4" w:space="0" w:color="000000"/>
              <w:bottom w:val="single" w:sz="4" w:space="0" w:color="000000"/>
              <w:right w:val="single" w:sz="4" w:space="0" w:color="000000"/>
            </w:tcBorders>
            <w:shd w:val="clear" w:color="auto" w:fill="007B3A"/>
          </w:tcPr>
          <w:p w14:paraId="4F3BCC45"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Напрями озеленення сектора</w:t>
            </w:r>
          </w:p>
        </w:tc>
        <w:tc>
          <w:tcPr>
            <w:tcW w:w="1707" w:type="pct"/>
            <w:tcBorders>
              <w:left w:val="single" w:sz="4" w:space="0" w:color="000000"/>
              <w:bottom w:val="single" w:sz="4" w:space="0" w:color="000000"/>
              <w:right w:val="nil"/>
            </w:tcBorders>
            <w:shd w:val="clear" w:color="auto" w:fill="007B3A"/>
          </w:tcPr>
          <w:p w14:paraId="44186389"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Кінцеві цілі</w:t>
            </w:r>
          </w:p>
        </w:tc>
      </w:tr>
      <w:tr w:rsidR="008B6F2E" w:rsidRPr="00FA6450" w14:paraId="1EC8EA96" w14:textId="77777777" w:rsidTr="001000BC">
        <w:trPr>
          <w:trHeight w:val="1051"/>
        </w:trPr>
        <w:tc>
          <w:tcPr>
            <w:tcW w:w="304" w:type="pct"/>
            <w:tcBorders>
              <w:top w:val="single" w:sz="4" w:space="0" w:color="000000"/>
              <w:bottom w:val="single" w:sz="4" w:space="0" w:color="000000"/>
              <w:right w:val="single" w:sz="4" w:space="0" w:color="000000"/>
            </w:tcBorders>
          </w:tcPr>
          <w:p w14:paraId="3DD92203"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4DFA9971"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1.</w:t>
            </w:r>
          </w:p>
        </w:tc>
        <w:tc>
          <w:tcPr>
            <w:tcW w:w="1159" w:type="pct"/>
            <w:tcBorders>
              <w:top w:val="single" w:sz="4" w:space="0" w:color="000000"/>
              <w:left w:val="single" w:sz="4" w:space="0" w:color="000000"/>
              <w:bottom w:val="single" w:sz="4" w:space="0" w:color="000000"/>
              <w:right w:val="single" w:sz="4" w:space="0" w:color="000000"/>
            </w:tcBorders>
          </w:tcPr>
          <w:p w14:paraId="21DD616A"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Підвищення енергоефективності житла</w:t>
            </w:r>
          </w:p>
        </w:tc>
        <w:tc>
          <w:tcPr>
            <w:tcW w:w="1829" w:type="pct"/>
            <w:tcBorders>
              <w:top w:val="single" w:sz="4" w:space="0" w:color="000000"/>
              <w:left w:val="single" w:sz="4" w:space="0" w:color="000000"/>
              <w:bottom w:val="single" w:sz="4" w:space="0" w:color="000000"/>
              <w:right w:val="single" w:sz="4" w:space="0" w:color="000000"/>
            </w:tcBorders>
          </w:tcPr>
          <w:p w14:paraId="44EEDF6C"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Реконструкція житла, гнучке проектування, енергоактивні будівлі, будівлі з нульовими викидами шкідливих речовин; нульовим енергоспоживанням</w:t>
            </w:r>
          </w:p>
        </w:tc>
        <w:tc>
          <w:tcPr>
            <w:tcW w:w="1707" w:type="pct"/>
            <w:tcBorders>
              <w:top w:val="single" w:sz="4" w:space="0" w:color="000000"/>
              <w:left w:val="single" w:sz="4" w:space="0" w:color="000000"/>
              <w:bottom w:val="single" w:sz="4" w:space="0" w:color="000000"/>
            </w:tcBorders>
          </w:tcPr>
          <w:p w14:paraId="1AFE09C1"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Скорочення енергоспоживання майже на 80% порівняно з традиційним проектуванням будівель, створення мільйонів робочих місць</w:t>
            </w:r>
          </w:p>
        </w:tc>
      </w:tr>
      <w:tr w:rsidR="008B6F2E" w:rsidRPr="00FA6450" w14:paraId="155C8071" w14:textId="77777777" w:rsidTr="001000BC">
        <w:trPr>
          <w:trHeight w:val="1451"/>
        </w:trPr>
        <w:tc>
          <w:tcPr>
            <w:tcW w:w="304" w:type="pct"/>
            <w:tcBorders>
              <w:top w:val="single" w:sz="4" w:space="0" w:color="000000"/>
              <w:bottom w:val="single" w:sz="4" w:space="0" w:color="000000"/>
              <w:right w:val="single" w:sz="4" w:space="0" w:color="000000"/>
            </w:tcBorders>
          </w:tcPr>
          <w:p w14:paraId="1CDC3C2F"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47FD99AF"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66FDBAC5"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2.</w:t>
            </w:r>
          </w:p>
        </w:tc>
        <w:tc>
          <w:tcPr>
            <w:tcW w:w="1159" w:type="pct"/>
            <w:tcBorders>
              <w:top w:val="single" w:sz="4" w:space="0" w:color="000000"/>
              <w:left w:val="single" w:sz="4" w:space="0" w:color="000000"/>
              <w:bottom w:val="single" w:sz="4" w:space="0" w:color="000000"/>
              <w:right w:val="single" w:sz="4" w:space="0" w:color="000000"/>
            </w:tcBorders>
          </w:tcPr>
          <w:p w14:paraId="2EF2FC7F"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3ACD6150"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741B1758"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Сталий транспорт</w:t>
            </w:r>
          </w:p>
        </w:tc>
        <w:tc>
          <w:tcPr>
            <w:tcW w:w="1829" w:type="pct"/>
            <w:tcBorders>
              <w:top w:val="single" w:sz="4" w:space="0" w:color="000000"/>
              <w:left w:val="single" w:sz="4" w:space="0" w:color="000000"/>
              <w:bottom w:val="single" w:sz="4" w:space="0" w:color="000000"/>
              <w:right w:val="single" w:sz="4" w:space="0" w:color="000000"/>
            </w:tcBorders>
          </w:tcPr>
          <w:p w14:paraId="4E5B90A4"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Перехід на низьковуглецеві види палива. Інвестування в енерго-ефективний транспорт, електрифікацію, розширення залізнизь. Планування зеленої міської інфраструктури для транспорту.</w:t>
            </w:r>
          </w:p>
        </w:tc>
        <w:tc>
          <w:tcPr>
            <w:tcW w:w="1707" w:type="pct"/>
            <w:tcBorders>
              <w:top w:val="single" w:sz="4" w:space="0" w:color="000000"/>
              <w:left w:val="single" w:sz="4" w:space="0" w:color="000000"/>
              <w:bottom w:val="single" w:sz="4" w:space="0" w:color="000000"/>
            </w:tcBorders>
          </w:tcPr>
          <w:p w14:paraId="29C8BF38"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Скорочення споживання палива світовим парком автомобілів до 2050 року на 50 %, попередження викидів СО</w:t>
            </w:r>
            <w:r w:rsidRPr="00FA6450">
              <w:rPr>
                <w:rFonts w:ascii="Times New Roman" w:hAnsi="Times New Roman" w:cs="Times New Roman"/>
                <w:sz w:val="16"/>
                <w:szCs w:val="16"/>
                <w:vertAlign w:val="subscript"/>
              </w:rPr>
              <w:t>2</w:t>
            </w:r>
            <w:r w:rsidRPr="00FA6450">
              <w:rPr>
                <w:rFonts w:ascii="Times New Roman" w:hAnsi="Times New Roman" w:cs="Times New Roman"/>
                <w:sz w:val="16"/>
                <w:szCs w:val="16"/>
              </w:rPr>
              <w:t xml:space="preserve"> щорічно обсягом 2 гігатонни, створення 3,8 млн нових робочих місць у світі.</w:t>
            </w:r>
          </w:p>
        </w:tc>
      </w:tr>
      <w:tr w:rsidR="008B6F2E" w:rsidRPr="00FA6450" w14:paraId="273BC243" w14:textId="77777777" w:rsidTr="001000BC">
        <w:trPr>
          <w:trHeight w:val="1851"/>
        </w:trPr>
        <w:tc>
          <w:tcPr>
            <w:tcW w:w="304" w:type="pct"/>
            <w:tcBorders>
              <w:top w:val="single" w:sz="4" w:space="0" w:color="000000"/>
              <w:bottom w:val="single" w:sz="4" w:space="0" w:color="000000"/>
              <w:right w:val="single" w:sz="4" w:space="0" w:color="000000"/>
            </w:tcBorders>
          </w:tcPr>
          <w:p w14:paraId="18B83244"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6D6D0B8E"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0B6130EA"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2A9E2AE5"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3.</w:t>
            </w:r>
          </w:p>
        </w:tc>
        <w:tc>
          <w:tcPr>
            <w:tcW w:w="1159" w:type="pct"/>
            <w:tcBorders>
              <w:top w:val="single" w:sz="4" w:space="0" w:color="000000"/>
              <w:left w:val="single" w:sz="4" w:space="0" w:color="000000"/>
              <w:bottom w:val="single" w:sz="4" w:space="0" w:color="000000"/>
              <w:right w:val="single" w:sz="4" w:space="0" w:color="000000"/>
            </w:tcBorders>
          </w:tcPr>
          <w:p w14:paraId="10E05B47"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0A1A5C3B"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30510812"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2FAF5CB4"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Стала енергетика</w:t>
            </w:r>
          </w:p>
        </w:tc>
        <w:tc>
          <w:tcPr>
            <w:tcW w:w="1829" w:type="pct"/>
            <w:tcBorders>
              <w:top w:val="single" w:sz="4" w:space="0" w:color="000000"/>
              <w:left w:val="single" w:sz="4" w:space="0" w:color="000000"/>
              <w:bottom w:val="single" w:sz="4" w:space="0" w:color="000000"/>
              <w:right w:val="single" w:sz="4" w:space="0" w:color="000000"/>
            </w:tcBorders>
          </w:tcPr>
          <w:p w14:paraId="758427C6"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Інвестування в інтелектуальні енергорозподільні системи типу</w:t>
            </w:r>
          </w:p>
          <w:p w14:paraId="69F6D495"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«smart grids», в інфраструктуру для відновлювальних джерел енергії, у розвиток і використання технологій альтернативної енергетики</w:t>
            </w:r>
          </w:p>
        </w:tc>
        <w:tc>
          <w:tcPr>
            <w:tcW w:w="1707" w:type="pct"/>
            <w:tcBorders>
              <w:top w:val="single" w:sz="4" w:space="0" w:color="000000"/>
              <w:left w:val="single" w:sz="4" w:space="0" w:color="000000"/>
              <w:bottom w:val="single" w:sz="4" w:space="0" w:color="000000"/>
            </w:tcBorders>
          </w:tcPr>
          <w:p w14:paraId="3D46497F"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Понад 20 млн додаткових робочих місць: 2,1 млн у вітроенергетиці, 6,3 млн у геліо-фотоелектричній</w:t>
            </w:r>
          </w:p>
          <w:p w14:paraId="4C7E6028"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галузі, 12 млн у сільському господарстві і промисловості, пов’язаних з виробництвом біопалива. Зменшення викидів вуглецю</w:t>
            </w:r>
          </w:p>
        </w:tc>
      </w:tr>
      <w:tr w:rsidR="008B6F2E" w:rsidRPr="00FA6450" w14:paraId="6F6A7930" w14:textId="77777777" w:rsidTr="001000BC">
        <w:trPr>
          <w:trHeight w:val="1451"/>
        </w:trPr>
        <w:tc>
          <w:tcPr>
            <w:tcW w:w="304" w:type="pct"/>
            <w:tcBorders>
              <w:top w:val="single" w:sz="4" w:space="0" w:color="000000"/>
              <w:bottom w:val="single" w:sz="4" w:space="0" w:color="000000"/>
              <w:right w:val="single" w:sz="4" w:space="0" w:color="000000"/>
            </w:tcBorders>
          </w:tcPr>
          <w:p w14:paraId="3A98551D"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01060C09"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60086838"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4.</w:t>
            </w:r>
          </w:p>
        </w:tc>
        <w:tc>
          <w:tcPr>
            <w:tcW w:w="1159" w:type="pct"/>
            <w:tcBorders>
              <w:top w:val="single" w:sz="4" w:space="0" w:color="000000"/>
              <w:left w:val="single" w:sz="4" w:space="0" w:color="000000"/>
              <w:bottom w:val="single" w:sz="4" w:space="0" w:color="000000"/>
              <w:right w:val="single" w:sz="4" w:space="0" w:color="000000"/>
            </w:tcBorders>
          </w:tcPr>
          <w:p w14:paraId="3D9319F7"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4F57F411"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7C3B1A1F"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Стале сільське господарство</w:t>
            </w:r>
          </w:p>
        </w:tc>
        <w:tc>
          <w:tcPr>
            <w:tcW w:w="1829" w:type="pct"/>
            <w:tcBorders>
              <w:top w:val="single" w:sz="4" w:space="0" w:color="000000"/>
              <w:left w:val="single" w:sz="4" w:space="0" w:color="000000"/>
              <w:bottom w:val="single" w:sz="4" w:space="0" w:color="000000"/>
              <w:right w:val="single" w:sz="4" w:space="0" w:color="000000"/>
            </w:tcBorders>
          </w:tcPr>
          <w:p w14:paraId="02661153"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Інвестування у стале сільське господарство, у т.ч. органічне землеоброблення. Відрахування розвинутими країнами частини стимулювальних пакетів на користь країн, що розвиваються</w:t>
            </w:r>
          </w:p>
        </w:tc>
        <w:tc>
          <w:tcPr>
            <w:tcW w:w="1707" w:type="pct"/>
            <w:tcBorders>
              <w:top w:val="single" w:sz="4" w:space="0" w:color="000000"/>
              <w:left w:val="single" w:sz="4" w:space="0" w:color="000000"/>
              <w:bottom w:val="single" w:sz="4" w:space="0" w:color="000000"/>
            </w:tcBorders>
          </w:tcPr>
          <w:p w14:paraId="20B34C96"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До 2050 р., згідно з прогнозами, один гектар Землі повинен прогодувати від 6,1 до 6,4 осіб проти 4,5 осіб у 2005 р.</w:t>
            </w:r>
          </w:p>
          <w:p w14:paraId="198DC926"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Створення на 30% більше робочих місць</w:t>
            </w:r>
          </w:p>
        </w:tc>
      </w:tr>
      <w:tr w:rsidR="008B6F2E" w:rsidRPr="00FA6450" w14:paraId="49E3A1BD" w14:textId="77777777" w:rsidTr="001000BC">
        <w:trPr>
          <w:trHeight w:val="1451"/>
        </w:trPr>
        <w:tc>
          <w:tcPr>
            <w:tcW w:w="304" w:type="pct"/>
            <w:tcBorders>
              <w:top w:val="single" w:sz="4" w:space="0" w:color="000000"/>
              <w:bottom w:val="single" w:sz="4" w:space="0" w:color="000000"/>
              <w:right w:val="single" w:sz="4" w:space="0" w:color="000000"/>
            </w:tcBorders>
          </w:tcPr>
          <w:p w14:paraId="62B82417"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4D4D77B9"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2FF6C73B"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5.</w:t>
            </w:r>
          </w:p>
        </w:tc>
        <w:tc>
          <w:tcPr>
            <w:tcW w:w="1159" w:type="pct"/>
            <w:tcBorders>
              <w:top w:val="single" w:sz="4" w:space="0" w:color="000000"/>
              <w:left w:val="single" w:sz="4" w:space="0" w:color="000000"/>
              <w:bottom w:val="single" w:sz="4" w:space="0" w:color="000000"/>
              <w:right w:val="single" w:sz="4" w:space="0" w:color="000000"/>
            </w:tcBorders>
          </w:tcPr>
          <w:p w14:paraId="2945DFCD"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78A78C3E"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4EBC1F62"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Прісна вода</w:t>
            </w:r>
          </w:p>
        </w:tc>
        <w:tc>
          <w:tcPr>
            <w:tcW w:w="1829" w:type="pct"/>
            <w:tcBorders>
              <w:top w:val="single" w:sz="4" w:space="0" w:color="000000"/>
              <w:left w:val="single" w:sz="4" w:space="0" w:color="000000"/>
              <w:bottom w:val="single" w:sz="4" w:space="0" w:color="000000"/>
              <w:right w:val="single" w:sz="4" w:space="0" w:color="000000"/>
            </w:tcBorders>
          </w:tcPr>
          <w:p w14:paraId="220CCBFE"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5FFA9D7F"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2C790341"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Інвестування в інфраструктуру забезпечення чистою водою</w:t>
            </w:r>
          </w:p>
        </w:tc>
        <w:tc>
          <w:tcPr>
            <w:tcW w:w="1707" w:type="pct"/>
            <w:tcBorders>
              <w:top w:val="single" w:sz="4" w:space="0" w:color="000000"/>
              <w:left w:val="single" w:sz="4" w:space="0" w:color="000000"/>
              <w:bottom w:val="single" w:sz="4" w:space="0" w:color="000000"/>
            </w:tcBorders>
          </w:tcPr>
          <w:p w14:paraId="397EA097"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До 2015 р. удвічі зменшити кількість людей, що не мають постійного доступу до безпечної води та базової санітарії. Глобальний виграш у 38 млрд дол. США у річному обчисленні</w:t>
            </w:r>
          </w:p>
        </w:tc>
      </w:tr>
      <w:tr w:rsidR="008B6F2E" w:rsidRPr="00FA6450" w14:paraId="5DF5A247" w14:textId="77777777" w:rsidTr="001000BC">
        <w:trPr>
          <w:trHeight w:val="1251"/>
        </w:trPr>
        <w:tc>
          <w:tcPr>
            <w:tcW w:w="304" w:type="pct"/>
            <w:tcBorders>
              <w:top w:val="single" w:sz="4" w:space="0" w:color="000000"/>
              <w:bottom w:val="single" w:sz="4" w:space="0" w:color="000000"/>
              <w:right w:val="single" w:sz="4" w:space="0" w:color="000000"/>
            </w:tcBorders>
          </w:tcPr>
          <w:p w14:paraId="3CC0A42E"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45674E5B"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2735C423"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6.</w:t>
            </w:r>
          </w:p>
        </w:tc>
        <w:tc>
          <w:tcPr>
            <w:tcW w:w="1159" w:type="pct"/>
            <w:tcBorders>
              <w:top w:val="single" w:sz="4" w:space="0" w:color="000000"/>
              <w:left w:val="single" w:sz="4" w:space="0" w:color="000000"/>
              <w:bottom w:val="single" w:sz="4" w:space="0" w:color="000000"/>
              <w:right w:val="single" w:sz="4" w:space="0" w:color="000000"/>
            </w:tcBorders>
          </w:tcPr>
          <w:p w14:paraId="54B24CB4"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573574FF"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Екологічна інфраструктура</w:t>
            </w:r>
          </w:p>
        </w:tc>
        <w:tc>
          <w:tcPr>
            <w:tcW w:w="1829" w:type="pct"/>
            <w:tcBorders>
              <w:top w:val="single" w:sz="4" w:space="0" w:color="000000"/>
              <w:left w:val="single" w:sz="4" w:space="0" w:color="000000"/>
              <w:bottom w:val="single" w:sz="4" w:space="0" w:color="000000"/>
              <w:right w:val="single" w:sz="4" w:space="0" w:color="000000"/>
            </w:tcBorders>
          </w:tcPr>
          <w:p w14:paraId="38D65226"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Інвестування у здорові екосистеми: водозбірні басейни, річкові системи, водно-болотні угіддя, ґрунти, ліси, океани та коралові рифи, що надають важливі економічні послуги</w:t>
            </w:r>
          </w:p>
        </w:tc>
        <w:tc>
          <w:tcPr>
            <w:tcW w:w="1707" w:type="pct"/>
            <w:tcBorders>
              <w:top w:val="single" w:sz="4" w:space="0" w:color="000000"/>
              <w:left w:val="single" w:sz="4" w:space="0" w:color="000000"/>
              <w:bottom w:val="single" w:sz="4" w:space="0" w:color="000000"/>
            </w:tcBorders>
          </w:tcPr>
          <w:p w14:paraId="111A4AC8"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Створення значної кількості додаткових робочих місць (вимагатиме від 10% до</w:t>
            </w:r>
          </w:p>
          <w:p w14:paraId="38B39F5E"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40% від обсягу інвестицій). Скорочення обсягу використаних природних ресурсів</w:t>
            </w:r>
          </w:p>
        </w:tc>
      </w:tr>
      <w:tr w:rsidR="008B6F2E" w:rsidRPr="00FA6450" w14:paraId="1900F593" w14:textId="77777777" w:rsidTr="001000BC">
        <w:trPr>
          <w:trHeight w:val="1251"/>
        </w:trPr>
        <w:tc>
          <w:tcPr>
            <w:tcW w:w="304" w:type="pct"/>
            <w:tcBorders>
              <w:top w:val="single" w:sz="4" w:space="0" w:color="000000"/>
              <w:bottom w:val="single" w:sz="4" w:space="0" w:color="000000"/>
              <w:right w:val="single" w:sz="4" w:space="0" w:color="000000"/>
            </w:tcBorders>
          </w:tcPr>
          <w:p w14:paraId="335F626C"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6D4FA0E6"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22DC8554"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7.</w:t>
            </w:r>
          </w:p>
        </w:tc>
        <w:tc>
          <w:tcPr>
            <w:tcW w:w="1159" w:type="pct"/>
            <w:tcBorders>
              <w:top w:val="single" w:sz="4" w:space="0" w:color="000000"/>
              <w:left w:val="single" w:sz="4" w:space="0" w:color="000000"/>
              <w:bottom w:val="single" w:sz="4" w:space="0" w:color="000000"/>
              <w:right w:val="single" w:sz="4" w:space="0" w:color="000000"/>
            </w:tcBorders>
          </w:tcPr>
          <w:p w14:paraId="00F39F0B"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Ефективне використання матеріалів</w:t>
            </w:r>
          </w:p>
          <w:p w14:paraId="1D290CF7"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та енергії у виробничих процесах</w:t>
            </w:r>
          </w:p>
        </w:tc>
        <w:tc>
          <w:tcPr>
            <w:tcW w:w="1829" w:type="pct"/>
            <w:tcBorders>
              <w:top w:val="single" w:sz="4" w:space="0" w:color="000000"/>
              <w:left w:val="single" w:sz="4" w:space="0" w:color="000000"/>
              <w:bottom w:val="single" w:sz="4" w:space="0" w:color="000000"/>
              <w:right w:val="single" w:sz="4" w:space="0" w:color="000000"/>
            </w:tcBorders>
          </w:tcPr>
          <w:p w14:paraId="4AE31A66"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Інвестування в екологічно чисті технології, чисте виробництво, відновлювальну енергетику.</w:t>
            </w:r>
          </w:p>
          <w:p w14:paraId="0578A904"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Скорочення субсидій на видобуток і використання викопного палива</w:t>
            </w:r>
          </w:p>
        </w:tc>
        <w:tc>
          <w:tcPr>
            <w:tcW w:w="1707" w:type="pct"/>
            <w:tcBorders>
              <w:top w:val="single" w:sz="4" w:space="0" w:color="000000"/>
              <w:left w:val="single" w:sz="4" w:space="0" w:color="000000"/>
              <w:bottom w:val="single" w:sz="4" w:space="0" w:color="000000"/>
            </w:tcBorders>
          </w:tcPr>
          <w:p w14:paraId="00F8B41B"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60222561"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Загальне зменшення матеріалоємності та енергоємності виробництва</w:t>
            </w:r>
          </w:p>
        </w:tc>
      </w:tr>
      <w:tr w:rsidR="008B6F2E" w:rsidRPr="00FA6450" w14:paraId="1AC77B33" w14:textId="77777777" w:rsidTr="001000BC">
        <w:trPr>
          <w:trHeight w:val="2033"/>
        </w:trPr>
        <w:tc>
          <w:tcPr>
            <w:tcW w:w="304" w:type="pct"/>
            <w:tcBorders>
              <w:top w:val="single" w:sz="4" w:space="0" w:color="000000"/>
              <w:right w:val="single" w:sz="4" w:space="0" w:color="000000"/>
            </w:tcBorders>
          </w:tcPr>
          <w:p w14:paraId="54D9C698"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41A485EB"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5FB253E6"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57497BFD"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8.</w:t>
            </w:r>
          </w:p>
        </w:tc>
        <w:tc>
          <w:tcPr>
            <w:tcW w:w="1159" w:type="pct"/>
            <w:tcBorders>
              <w:top w:val="single" w:sz="4" w:space="0" w:color="000000"/>
              <w:left w:val="single" w:sz="4" w:space="0" w:color="000000"/>
              <w:right w:val="single" w:sz="4" w:space="0" w:color="000000"/>
            </w:tcBorders>
          </w:tcPr>
          <w:p w14:paraId="39268628"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15F57FEE"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0639874F"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p>
          <w:p w14:paraId="68089DDD"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Утилізація відходів, вторинна переробка матеріалів</w:t>
            </w:r>
          </w:p>
        </w:tc>
        <w:tc>
          <w:tcPr>
            <w:tcW w:w="1829" w:type="pct"/>
            <w:tcBorders>
              <w:top w:val="single" w:sz="4" w:space="0" w:color="000000"/>
              <w:left w:val="single" w:sz="4" w:space="0" w:color="000000"/>
              <w:right w:val="single" w:sz="4" w:space="0" w:color="000000"/>
            </w:tcBorders>
          </w:tcPr>
          <w:p w14:paraId="2D9D2205"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Включення у вартість продукції вартості шкоди для довкілля.</w:t>
            </w:r>
          </w:p>
          <w:p w14:paraId="002EE187"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Забезпечення безпечного й чистого відвантаження, вивозу, збереження та утилізації відходів при дотримані трьох правил: зменшення кількості відходів, їх вторинна переробка та вторинне використання</w:t>
            </w:r>
          </w:p>
        </w:tc>
        <w:tc>
          <w:tcPr>
            <w:tcW w:w="1707" w:type="pct"/>
            <w:tcBorders>
              <w:top w:val="single" w:sz="4" w:space="0" w:color="000000"/>
              <w:left w:val="single" w:sz="4" w:space="0" w:color="000000"/>
            </w:tcBorders>
          </w:tcPr>
          <w:p w14:paraId="218EA501"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У 2000 році на сектор вторинної переробки у країнах-членах Євросоюзу припадало 4 % ВВП цього регіону (а може не регіону а сектору уточнити в першоджерелі).</w:t>
            </w:r>
          </w:p>
          <w:p w14:paraId="785CCA3D" w14:textId="77777777" w:rsidR="008B6F2E" w:rsidRPr="00FA6450" w:rsidRDefault="008B6F2E" w:rsidP="001000BC">
            <w:pPr>
              <w:adjustRightInd w:val="0"/>
              <w:snapToGrid w:val="0"/>
              <w:spacing w:after="0" w:line="240" w:lineRule="auto"/>
              <w:jc w:val="both"/>
              <w:rPr>
                <w:rFonts w:ascii="Times New Roman" w:hAnsi="Times New Roman" w:cs="Times New Roman"/>
                <w:sz w:val="16"/>
                <w:szCs w:val="16"/>
              </w:rPr>
            </w:pPr>
            <w:r w:rsidRPr="00FA6450">
              <w:rPr>
                <w:rFonts w:ascii="Times New Roman" w:hAnsi="Times New Roman" w:cs="Times New Roman"/>
                <w:sz w:val="16"/>
                <w:szCs w:val="16"/>
              </w:rPr>
              <w:t>Очікується, що в умовах підвищення цін на сировинні товари сектор буде швидко зростати</w:t>
            </w:r>
          </w:p>
        </w:tc>
      </w:tr>
    </w:tbl>
    <w:p w14:paraId="71CE22E0" w14:textId="77777777" w:rsidR="008B6F2E" w:rsidRPr="00C50434" w:rsidRDefault="008B6F2E" w:rsidP="008B6F2E">
      <w:pPr>
        <w:adjustRightInd w:val="0"/>
        <w:snapToGrid w:val="0"/>
        <w:spacing w:after="0" w:line="240" w:lineRule="auto"/>
        <w:ind w:firstLine="567"/>
        <w:jc w:val="both"/>
        <w:rPr>
          <w:rFonts w:ascii="Times New Roman" w:hAnsi="Times New Roman" w:cs="Times New Roman"/>
          <w:sz w:val="20"/>
          <w:szCs w:val="20"/>
        </w:rPr>
      </w:pPr>
      <w:r w:rsidRPr="00C50434">
        <w:rPr>
          <w:rFonts w:ascii="Times New Roman" w:hAnsi="Times New Roman" w:cs="Times New Roman"/>
          <w:sz w:val="20"/>
          <w:szCs w:val="20"/>
        </w:rPr>
        <w:t>необхідний приплив зовнішнього капіталу та досягти істотних темпів економічного зростання.</w:t>
      </w:r>
    </w:p>
    <w:p w14:paraId="0C1CD2EE" w14:textId="77777777" w:rsidR="008B6F2E" w:rsidRPr="00C50434" w:rsidRDefault="008B6F2E" w:rsidP="008B6F2E">
      <w:pPr>
        <w:adjustRightInd w:val="0"/>
        <w:snapToGrid w:val="0"/>
        <w:spacing w:after="0" w:line="240" w:lineRule="auto"/>
        <w:ind w:firstLine="567"/>
        <w:jc w:val="both"/>
        <w:rPr>
          <w:rFonts w:ascii="Times New Roman" w:hAnsi="Times New Roman" w:cs="Times New Roman"/>
          <w:sz w:val="20"/>
          <w:szCs w:val="20"/>
        </w:rPr>
      </w:pPr>
      <w:r w:rsidRPr="00C50434">
        <w:rPr>
          <w:rFonts w:ascii="Times New Roman" w:hAnsi="Times New Roman" w:cs="Times New Roman"/>
          <w:sz w:val="20"/>
          <w:szCs w:val="20"/>
        </w:rPr>
        <w:t>Огляд міжнародних тенденцій свідчить, що одні країни розвивають секторальну й цільову політику, інші – застосовують традиційні секторальні господарські плани для координації дій донорів у конкретних секторах. Прикладами секторальних і цільових стратегій є національні плани дій для боротьби з опустелюванням, національні програми оздоровлення водних ресурсів, заліснення, політика інтегрованого управління прибережними смугами.</w:t>
      </w:r>
    </w:p>
    <w:p w14:paraId="216971CB" w14:textId="6CD337D1" w:rsidR="008B6F2E" w:rsidRPr="00C50434" w:rsidRDefault="008B6F2E" w:rsidP="00A6446B">
      <w:pPr>
        <w:adjustRightInd w:val="0"/>
        <w:snapToGrid w:val="0"/>
        <w:spacing w:after="0" w:line="240" w:lineRule="auto"/>
        <w:ind w:firstLine="567"/>
        <w:jc w:val="both"/>
        <w:rPr>
          <w:rFonts w:ascii="Times New Roman" w:hAnsi="Times New Roman" w:cs="Times New Roman"/>
          <w:sz w:val="20"/>
          <w:szCs w:val="20"/>
        </w:rPr>
      </w:pPr>
      <w:r w:rsidRPr="00C50434">
        <w:rPr>
          <w:rFonts w:ascii="Times New Roman" w:hAnsi="Times New Roman" w:cs="Times New Roman"/>
          <w:sz w:val="20"/>
          <w:szCs w:val="20"/>
        </w:rPr>
        <w:t>Створення в деяких країнах таких інституційних структур, як національні ради зі сталого розвитку або міжміністерські комісії, зіграло позитивну роль у досягненні консенсусу у формуванні національних стратегій сталого розвитку. Важливе значення при цьому  займає  міжнародна  технічна</w:t>
      </w:r>
      <w:r w:rsidR="00A6446B">
        <w:rPr>
          <w:rFonts w:ascii="Times New Roman" w:hAnsi="Times New Roman" w:cs="Times New Roman"/>
          <w:sz w:val="20"/>
          <w:szCs w:val="20"/>
        </w:rPr>
        <w:t xml:space="preserve"> </w:t>
      </w:r>
      <w:r w:rsidRPr="00C50434">
        <w:rPr>
          <w:rFonts w:ascii="Times New Roman" w:hAnsi="Times New Roman" w:cs="Times New Roman"/>
          <w:sz w:val="20"/>
          <w:szCs w:val="20"/>
        </w:rPr>
        <w:t xml:space="preserve">допомога. Так, ЮНЕП при створенні міжнародної мережі співробітництва з метою експертизи й оцінки глобального стану навколишнього середовища акцентувала увагу на передачі методології та підходів у формуванні національних і міжнародних центрів із співробітництва, що мало свій позитивний ефект. Понад 100 держав отримали подібну консультативну допомогу. Новим елементом інституційної структури та інструментом субрегіонального управління держав стали агентства місцевого і регіонального розвитку. Крім того, ЮНЕП започаткувала збирання, аналіз і синтез глобальних і регіональних даних щодо стану навколишнього середовища через мережу 35 партнерських центрів, розташованих по всьому </w:t>
      </w:r>
      <w:r w:rsidRPr="00C50434">
        <w:rPr>
          <w:rFonts w:ascii="Times New Roman" w:hAnsi="Times New Roman" w:cs="Times New Roman"/>
          <w:sz w:val="20"/>
          <w:szCs w:val="20"/>
        </w:rPr>
        <w:lastRenderedPageBreak/>
        <w:t>світі. Результатом цієї роботи є регулярне видання глобального екологічного огляду під назвою «Глобальна екологічна перспектива».</w:t>
      </w:r>
    </w:p>
    <w:p w14:paraId="653F368F" w14:textId="77777777" w:rsidR="008B6F2E" w:rsidRPr="00C50434" w:rsidRDefault="008B6F2E" w:rsidP="008B6F2E">
      <w:pPr>
        <w:adjustRightInd w:val="0"/>
        <w:snapToGrid w:val="0"/>
        <w:spacing w:after="0" w:line="240" w:lineRule="auto"/>
        <w:ind w:firstLine="567"/>
        <w:jc w:val="both"/>
        <w:rPr>
          <w:rFonts w:ascii="Times New Roman" w:hAnsi="Times New Roman" w:cs="Times New Roman"/>
          <w:sz w:val="20"/>
          <w:szCs w:val="20"/>
        </w:rPr>
      </w:pPr>
      <w:r w:rsidRPr="00C50434">
        <w:rPr>
          <w:rFonts w:ascii="Times New Roman" w:hAnsi="Times New Roman" w:cs="Times New Roman"/>
          <w:sz w:val="20"/>
          <w:szCs w:val="20"/>
        </w:rPr>
        <w:t>Деякі з агентств розвитку розробили програми щодо формування стратегій зі сталого розвитку. Підхід в оцінці розвитку (запропонований ООН), який базується на загальних національних оцінках країн, став важливим елементом у координації програм ООН для допомоги на національному рівні.</w:t>
      </w:r>
    </w:p>
    <w:p w14:paraId="451D0688" w14:textId="77777777" w:rsidR="008B6F2E" w:rsidRPr="00C50434" w:rsidRDefault="008B6F2E" w:rsidP="008B6F2E">
      <w:pPr>
        <w:adjustRightInd w:val="0"/>
        <w:snapToGrid w:val="0"/>
        <w:spacing w:after="0" w:line="240" w:lineRule="auto"/>
        <w:ind w:firstLine="567"/>
        <w:jc w:val="both"/>
        <w:rPr>
          <w:rFonts w:ascii="Times New Roman" w:hAnsi="Times New Roman" w:cs="Times New Roman"/>
          <w:sz w:val="20"/>
          <w:szCs w:val="20"/>
        </w:rPr>
      </w:pPr>
      <w:r w:rsidRPr="00C50434">
        <w:rPr>
          <w:rFonts w:ascii="Times New Roman" w:hAnsi="Times New Roman" w:cs="Times New Roman"/>
          <w:sz w:val="20"/>
          <w:szCs w:val="20"/>
        </w:rPr>
        <w:t>Починаючи з 1992 року, було узгоджено, підписано й ратифіковано низку нових правових інструментів, конвенцій і протоколів, які запровадили різноманітні міжнародні правові інструменти й механізми, підсилили міжнародну правову основу для підтримки сталого розвитку та «зеленої» економіки.</w:t>
      </w:r>
    </w:p>
    <w:p w14:paraId="05906F8B" w14:textId="77777777" w:rsidR="008B6F2E" w:rsidRPr="00C50434" w:rsidRDefault="008B6F2E" w:rsidP="008B6F2E">
      <w:pPr>
        <w:adjustRightInd w:val="0"/>
        <w:snapToGrid w:val="0"/>
        <w:spacing w:after="0" w:line="240" w:lineRule="auto"/>
        <w:ind w:firstLine="567"/>
        <w:jc w:val="both"/>
        <w:rPr>
          <w:rFonts w:ascii="Times New Roman" w:hAnsi="Times New Roman" w:cs="Times New Roman"/>
          <w:sz w:val="20"/>
          <w:szCs w:val="20"/>
        </w:rPr>
      </w:pPr>
      <w:r w:rsidRPr="00C50434">
        <w:rPr>
          <w:rFonts w:ascii="Times New Roman" w:hAnsi="Times New Roman" w:cs="Times New Roman"/>
          <w:sz w:val="20"/>
          <w:szCs w:val="20"/>
        </w:rPr>
        <w:t>На сьогодні уряди багатьох розвинутих країн включили цілі, завдання та конкретні інструменти сприяння «зеленому» зростанню у свої довгострокові стратегії або розробили окремі стратегії</w:t>
      </w:r>
    </w:p>
    <w:p w14:paraId="1113DCB3" w14:textId="77777777" w:rsidR="008B6F2E" w:rsidRPr="00C50434" w:rsidRDefault="008B6F2E" w:rsidP="008B6F2E">
      <w:pPr>
        <w:adjustRightInd w:val="0"/>
        <w:snapToGrid w:val="0"/>
        <w:spacing w:after="0" w:line="240" w:lineRule="auto"/>
        <w:ind w:firstLine="567"/>
        <w:jc w:val="both"/>
        <w:rPr>
          <w:rFonts w:ascii="Times New Roman" w:hAnsi="Times New Roman" w:cs="Times New Roman"/>
          <w:sz w:val="20"/>
          <w:szCs w:val="20"/>
        </w:rPr>
      </w:pPr>
      <w:r w:rsidRPr="00C50434">
        <w:rPr>
          <w:rFonts w:ascii="Times New Roman" w:hAnsi="Times New Roman" w:cs="Times New Roman"/>
          <w:sz w:val="20"/>
          <w:szCs w:val="20"/>
        </w:rPr>
        <w:t>«зеленого» зростання. Світова фінансово-економічна криза спонукала держави світу до необхідності вирішення питання підвищення ефективності використання ресурсів, розвитку нових екологічно орієнтованих галузей і видів діяльності, упровадження</w:t>
      </w:r>
    </w:p>
    <w:p w14:paraId="42067128" w14:textId="77777777" w:rsidR="008B6F2E" w:rsidRPr="00C50434" w:rsidRDefault="008B6F2E" w:rsidP="008B6F2E">
      <w:pPr>
        <w:adjustRightInd w:val="0"/>
        <w:snapToGrid w:val="0"/>
        <w:spacing w:after="0" w:line="240" w:lineRule="auto"/>
        <w:ind w:firstLine="567"/>
        <w:jc w:val="both"/>
        <w:rPr>
          <w:rFonts w:ascii="Times New Roman" w:hAnsi="Times New Roman" w:cs="Times New Roman"/>
          <w:sz w:val="20"/>
          <w:szCs w:val="20"/>
        </w:rPr>
      </w:pPr>
      <w:r w:rsidRPr="00C50434">
        <w:rPr>
          <w:rFonts w:ascii="Times New Roman" w:hAnsi="Times New Roman" w:cs="Times New Roman"/>
          <w:sz w:val="20"/>
          <w:szCs w:val="20"/>
        </w:rPr>
        <w:t>«зелених технологій» – тобто тих змін, які дозволять забезпечити гармонійне узгодження економічного, соціального й екологічного розвитку і стати каталізатором зростання глобальної економіки.</w:t>
      </w:r>
    </w:p>
    <w:p w14:paraId="0C2FD2DE" w14:textId="77777777" w:rsidR="008B6F2E" w:rsidRPr="00C50434" w:rsidRDefault="008B6F2E" w:rsidP="008B6F2E">
      <w:pPr>
        <w:adjustRightInd w:val="0"/>
        <w:snapToGrid w:val="0"/>
        <w:spacing w:after="0" w:line="240" w:lineRule="auto"/>
        <w:ind w:firstLine="567"/>
        <w:jc w:val="both"/>
        <w:rPr>
          <w:rFonts w:ascii="Times New Roman" w:hAnsi="Times New Roman" w:cs="Times New Roman"/>
          <w:sz w:val="20"/>
          <w:szCs w:val="20"/>
        </w:rPr>
      </w:pPr>
      <w:r w:rsidRPr="00C50434">
        <w:rPr>
          <w:rFonts w:ascii="Times New Roman" w:hAnsi="Times New Roman" w:cs="Times New Roman"/>
          <w:sz w:val="20"/>
          <w:szCs w:val="20"/>
        </w:rPr>
        <w:t>Саме тому на Конференції ООН зі сталого розвитку, яка пройшла на вищому рівні в Бразилії у 2012 р. («Ріо+20»), однією з двох центральних тем була</w:t>
      </w:r>
      <w:r>
        <w:rPr>
          <w:rFonts w:ascii="Times New Roman" w:hAnsi="Times New Roman" w:cs="Times New Roman"/>
          <w:sz w:val="20"/>
          <w:szCs w:val="20"/>
        </w:rPr>
        <w:t xml:space="preserve"> </w:t>
      </w:r>
      <w:r w:rsidRPr="00C50434">
        <w:rPr>
          <w:rFonts w:ascii="Times New Roman" w:hAnsi="Times New Roman" w:cs="Times New Roman"/>
          <w:sz w:val="20"/>
          <w:szCs w:val="20"/>
        </w:rPr>
        <w:t>«зелена економіка в контексті сталого розвитку та викорінення бідності». Відповідно до підсумкового документа</w:t>
      </w:r>
      <w:r>
        <w:rPr>
          <w:rFonts w:ascii="Times New Roman" w:hAnsi="Times New Roman" w:cs="Times New Roman"/>
          <w:sz w:val="20"/>
          <w:szCs w:val="20"/>
        </w:rPr>
        <w:t xml:space="preserve"> </w:t>
      </w:r>
      <w:r w:rsidRPr="00C50434">
        <w:rPr>
          <w:rFonts w:ascii="Times New Roman" w:hAnsi="Times New Roman" w:cs="Times New Roman"/>
          <w:sz w:val="20"/>
          <w:szCs w:val="20"/>
        </w:rPr>
        <w:t>«Майбутнє, якого ми хочемо» ідеологія</w:t>
      </w:r>
      <w:r>
        <w:rPr>
          <w:rFonts w:ascii="Times New Roman" w:hAnsi="Times New Roman" w:cs="Times New Roman"/>
          <w:sz w:val="20"/>
          <w:szCs w:val="20"/>
        </w:rPr>
        <w:t xml:space="preserve"> </w:t>
      </w:r>
      <w:r w:rsidRPr="00C50434">
        <w:rPr>
          <w:rFonts w:ascii="Times New Roman" w:hAnsi="Times New Roman" w:cs="Times New Roman"/>
          <w:sz w:val="20"/>
          <w:szCs w:val="20"/>
        </w:rPr>
        <w:t>«зеленої» економіки розглядалася як ключовий вектор забезпечення сталого розвитку, що зміцнить здатність держав раціонально використовувати природні ресурси з меншим негативним впливом на навколишнє середовище.</w:t>
      </w:r>
    </w:p>
    <w:p w14:paraId="21B93F21" w14:textId="77777777" w:rsidR="008B6F2E" w:rsidRPr="00C50434" w:rsidRDefault="008B6F2E" w:rsidP="008B6F2E">
      <w:pPr>
        <w:adjustRightInd w:val="0"/>
        <w:snapToGrid w:val="0"/>
        <w:spacing w:after="0" w:line="240" w:lineRule="auto"/>
        <w:ind w:firstLine="567"/>
        <w:jc w:val="both"/>
        <w:rPr>
          <w:rFonts w:ascii="Times New Roman" w:hAnsi="Times New Roman" w:cs="Times New Roman"/>
          <w:sz w:val="20"/>
          <w:szCs w:val="20"/>
        </w:rPr>
      </w:pPr>
      <w:r w:rsidRPr="00C50434">
        <w:rPr>
          <w:rFonts w:ascii="Times New Roman" w:hAnsi="Times New Roman" w:cs="Times New Roman"/>
          <w:sz w:val="20"/>
          <w:szCs w:val="20"/>
        </w:rPr>
        <w:t>Щодо зеленого майбутнього, то більшість розвинених держав розглядають його як екологічно безпечний і збалансований розвиток на основі принципів Декларації, прийнятої в Ріо, та відповідно до довгострокових цілей, визначених у Декларації Тисячоліття. При цьому концептуальні підходи до розвитку «зеленої» економіки збагачуються неперервним історичним досвідом та постійно вдосконалюються.</w:t>
      </w:r>
    </w:p>
    <w:p w14:paraId="5AB79C78" w14:textId="77777777" w:rsidR="008B6F2E" w:rsidRPr="00C50434" w:rsidRDefault="008B6F2E" w:rsidP="008B6F2E">
      <w:pPr>
        <w:adjustRightInd w:val="0"/>
        <w:snapToGrid w:val="0"/>
        <w:spacing w:after="0" w:line="240" w:lineRule="auto"/>
        <w:ind w:firstLine="567"/>
        <w:jc w:val="both"/>
        <w:rPr>
          <w:rFonts w:ascii="Times New Roman" w:hAnsi="Times New Roman" w:cs="Times New Roman"/>
          <w:sz w:val="20"/>
          <w:szCs w:val="20"/>
        </w:rPr>
      </w:pPr>
      <w:r w:rsidRPr="00C50434">
        <w:rPr>
          <w:rFonts w:ascii="Times New Roman" w:hAnsi="Times New Roman" w:cs="Times New Roman"/>
          <w:sz w:val="20"/>
          <w:szCs w:val="20"/>
        </w:rPr>
        <w:t xml:space="preserve">Позитивним моментом Саміту було визнання багатьма розвиненими країнами, які є лідерами за рівнями виробництва і споживання, їх солідарної відповідальності за наявну деградацію навколишнього середовища і за майбутнє всього людства. Аналіз незадовільних результатів імплементації Порядку денного на XXI століття за десятирічний період виявив як одну з її основних причин недосконалість чинної інституційної структури сталого розвитку, що проявилась у сферах координації, моніторингу й управління. На Саміті в Йоганнесбурзі було підкреслено, що досконалість інституційної </w:t>
      </w:r>
      <w:r w:rsidRPr="00C50434">
        <w:rPr>
          <w:rFonts w:ascii="Times New Roman" w:hAnsi="Times New Roman" w:cs="Times New Roman"/>
          <w:sz w:val="20"/>
          <w:szCs w:val="20"/>
        </w:rPr>
        <w:lastRenderedPageBreak/>
        <w:t>структури й ефективність її функціонування є ключовими в реалізації визначених цілей.</w:t>
      </w:r>
    </w:p>
    <w:p w14:paraId="50FA8C5F" w14:textId="77777777" w:rsidR="008B6F2E" w:rsidRPr="00C50434" w:rsidRDefault="008B6F2E" w:rsidP="008B6F2E">
      <w:pPr>
        <w:adjustRightInd w:val="0"/>
        <w:snapToGrid w:val="0"/>
        <w:spacing w:after="0" w:line="240" w:lineRule="auto"/>
        <w:ind w:firstLine="567"/>
        <w:jc w:val="both"/>
        <w:rPr>
          <w:rFonts w:ascii="Times New Roman" w:hAnsi="Times New Roman" w:cs="Times New Roman"/>
          <w:sz w:val="20"/>
          <w:szCs w:val="20"/>
        </w:rPr>
      </w:pPr>
      <w:r w:rsidRPr="00C50434">
        <w:rPr>
          <w:rFonts w:ascii="Times New Roman" w:hAnsi="Times New Roman" w:cs="Times New Roman"/>
          <w:sz w:val="20"/>
          <w:szCs w:val="20"/>
        </w:rPr>
        <w:t>Міжнародний  досвід  свідчить,  що</w:t>
      </w:r>
      <w:r>
        <w:rPr>
          <w:rFonts w:ascii="Times New Roman" w:hAnsi="Times New Roman" w:cs="Times New Roman"/>
          <w:sz w:val="20"/>
          <w:szCs w:val="20"/>
        </w:rPr>
        <w:t xml:space="preserve"> </w:t>
      </w:r>
      <w:r w:rsidRPr="00C50434">
        <w:rPr>
          <w:rFonts w:ascii="Times New Roman" w:hAnsi="Times New Roman" w:cs="Times New Roman"/>
          <w:sz w:val="20"/>
          <w:szCs w:val="20"/>
        </w:rPr>
        <w:t>«хвиля» зеленої революції істотно змінює економічне середовище та фінансові ринки в індустріально розвинених країнах, спонукає уряди та бізнес здійснювати перерозподіл фінансових потоків у перспективні екологічно чисті сектори економіки.</w:t>
      </w:r>
    </w:p>
    <w:p w14:paraId="36E7FE1E" w14:textId="77777777" w:rsidR="008B6F2E" w:rsidRPr="00C50434" w:rsidRDefault="008B6F2E" w:rsidP="008B6F2E">
      <w:pPr>
        <w:adjustRightInd w:val="0"/>
        <w:snapToGrid w:val="0"/>
        <w:spacing w:after="0" w:line="240" w:lineRule="auto"/>
        <w:ind w:firstLine="567"/>
        <w:jc w:val="both"/>
        <w:rPr>
          <w:rFonts w:ascii="Times New Roman" w:hAnsi="Times New Roman" w:cs="Times New Roman"/>
          <w:sz w:val="20"/>
          <w:szCs w:val="20"/>
        </w:rPr>
      </w:pPr>
      <w:r w:rsidRPr="00C50434">
        <w:rPr>
          <w:rFonts w:ascii="Times New Roman" w:hAnsi="Times New Roman" w:cs="Times New Roman"/>
          <w:sz w:val="20"/>
          <w:szCs w:val="20"/>
        </w:rPr>
        <w:t>нові орієнтири розвитку «зеленої» економіки. «Зелений перехід», що потребує, за експертними оцінками, обґрунтованих системних рішень, урахування національного контексту та відкритості, повинен стимулюватися інструментами державної політики, яка має бути націлена на підтримку зелених реформ за трьома напрямами: (а) формування стратегічних засад політики та проведення реформ, пов’язаних з екологізацією економічної діяльності, (б) інтеграція стратегічних екологічних оцінок у систему розроблення планів і програм розвитку країн на національному, місцевому та галузевому рівнях, (в) реалізація демонстраційних проектів, спрямованих на поширення принципів, бізнес-практики та технологій ресурсно-еффективного і більш чистого виробництва, а також органічного сільського господарства.</w:t>
      </w:r>
    </w:p>
    <w:p w14:paraId="7D0C840F" w14:textId="77777777" w:rsidR="008B6F2E" w:rsidRPr="00C50434" w:rsidRDefault="008B6F2E" w:rsidP="008B6F2E">
      <w:pPr>
        <w:adjustRightInd w:val="0"/>
        <w:snapToGrid w:val="0"/>
        <w:spacing w:after="0" w:line="240" w:lineRule="auto"/>
        <w:ind w:firstLine="567"/>
        <w:jc w:val="both"/>
        <w:rPr>
          <w:rFonts w:ascii="Times New Roman" w:hAnsi="Times New Roman" w:cs="Times New Roman"/>
          <w:sz w:val="20"/>
          <w:szCs w:val="20"/>
        </w:rPr>
      </w:pPr>
      <w:r w:rsidRPr="00C50434">
        <w:rPr>
          <w:rFonts w:ascii="Times New Roman" w:hAnsi="Times New Roman" w:cs="Times New Roman"/>
          <w:sz w:val="20"/>
          <w:szCs w:val="20"/>
        </w:rPr>
        <w:t>На сьогодні ЄС має низку досконалих інноваційних програм, які вже забезпечують внесок в озеленення економіки ЄС. Серед них Дорожня карта переходу до конкурентної низьковуглецевої економіки (НВЕ) до 2050 року, Європейський план енергоефективності до 2020 року, Дорожня карта розвитку енергетики до 2050 року, Дорожня карта переходу до ресурсноефективної Європи, План дій з екологічних технологій (Environmental Technologies Action Plan – ETAP), Програма конкурентоздатності та інновацій (Competitiveness and Innovation Framework Programme (CIP), Рамкові програми розвитку досліджень та технологій, програми інновацій та регіонального розвитку тощо.</w:t>
      </w:r>
    </w:p>
    <w:p w14:paraId="6433385F" w14:textId="77777777" w:rsidR="008B6F2E" w:rsidRPr="00C50434" w:rsidRDefault="008B6F2E" w:rsidP="008B6F2E">
      <w:pPr>
        <w:adjustRightInd w:val="0"/>
        <w:snapToGrid w:val="0"/>
        <w:spacing w:after="0" w:line="240" w:lineRule="auto"/>
        <w:ind w:firstLine="567"/>
        <w:jc w:val="both"/>
        <w:rPr>
          <w:rFonts w:ascii="Times New Roman" w:hAnsi="Times New Roman" w:cs="Times New Roman"/>
          <w:sz w:val="20"/>
          <w:szCs w:val="20"/>
        </w:rPr>
      </w:pPr>
      <w:r w:rsidRPr="00C50434">
        <w:rPr>
          <w:rFonts w:ascii="Times New Roman" w:hAnsi="Times New Roman" w:cs="Times New Roman"/>
          <w:sz w:val="20"/>
          <w:szCs w:val="20"/>
        </w:rPr>
        <w:t>Пріоритетними напрямками для забезпечення трансформації європейської економіки на «зелених» засадах визначені збалансована мобільність та ефективність використання енергії й матеріалів.</w:t>
      </w:r>
    </w:p>
    <w:p w14:paraId="1C067758" w14:textId="77777777" w:rsidR="008B6F2E" w:rsidRPr="00C50434" w:rsidRDefault="008B6F2E" w:rsidP="008B6F2E">
      <w:pPr>
        <w:adjustRightInd w:val="0"/>
        <w:snapToGrid w:val="0"/>
        <w:spacing w:after="0" w:line="240" w:lineRule="auto"/>
        <w:ind w:firstLine="567"/>
        <w:jc w:val="both"/>
        <w:rPr>
          <w:rFonts w:ascii="Times New Roman" w:hAnsi="Times New Roman" w:cs="Times New Roman"/>
          <w:sz w:val="20"/>
          <w:szCs w:val="20"/>
        </w:rPr>
      </w:pPr>
      <w:r w:rsidRPr="00C50434">
        <w:rPr>
          <w:rFonts w:ascii="Times New Roman" w:hAnsi="Times New Roman" w:cs="Times New Roman"/>
          <w:sz w:val="20"/>
          <w:szCs w:val="20"/>
        </w:rPr>
        <w:t>Крім того, згідно з дослідженням Міжнародної організації праці «озеленення» економіки відкриває нові можливості для бізнесу й підвищення зайнятості, а також стимулювання інвестицій та інновацій. Проте для ефективного впровадження «зеленої» економіки необхідно активізувати зусилля щодо зміцнення національних стратегій, які сприяють упровадженню чистих технологій і «зелених» робочих місць.</w:t>
      </w:r>
    </w:p>
    <w:p w14:paraId="3F1D34D9" w14:textId="77777777" w:rsidR="008B6F2E" w:rsidRPr="00C50434" w:rsidRDefault="008B6F2E" w:rsidP="008B6F2E">
      <w:pPr>
        <w:adjustRightInd w:val="0"/>
        <w:snapToGrid w:val="0"/>
        <w:spacing w:after="0" w:line="240" w:lineRule="auto"/>
        <w:ind w:firstLine="567"/>
        <w:jc w:val="both"/>
        <w:rPr>
          <w:rFonts w:ascii="Times New Roman" w:hAnsi="Times New Roman" w:cs="Times New Roman"/>
          <w:sz w:val="20"/>
          <w:szCs w:val="20"/>
        </w:rPr>
      </w:pPr>
      <w:r w:rsidRPr="00C50434">
        <w:rPr>
          <w:rFonts w:ascii="Times New Roman" w:hAnsi="Times New Roman" w:cs="Times New Roman"/>
          <w:sz w:val="20"/>
          <w:szCs w:val="20"/>
        </w:rPr>
        <w:t>З цією метою ООН розробляє програму державних інвестицій, фіскальних стимулів, політичних реформ і реформ ціноутворення для переходу до екологічно орієнтованої «зеленої» економіки, створення відповідної інфраструктури та підвищення зайнятості у трансформованих секторах економіки. При цьому, за оцінками міжнародних досліджень, передбачається, що впровадження Кліматичного та Енергетичного пакетів дозволить скоротити до 2050 р. викиди парникових газів на 80-90% порівняно з 1990 р.</w:t>
      </w:r>
    </w:p>
    <w:p w14:paraId="5E81466A" w14:textId="77777777" w:rsidR="008B6F2E" w:rsidRDefault="008B6F2E" w:rsidP="008B6F2E">
      <w:pPr>
        <w:adjustRightInd w:val="0"/>
        <w:snapToGrid w:val="0"/>
        <w:spacing w:after="0" w:line="240" w:lineRule="auto"/>
        <w:ind w:firstLine="567"/>
        <w:jc w:val="both"/>
        <w:rPr>
          <w:rFonts w:ascii="Times New Roman" w:hAnsi="Times New Roman" w:cs="Times New Roman"/>
          <w:sz w:val="20"/>
          <w:szCs w:val="20"/>
        </w:rPr>
      </w:pPr>
      <w:r w:rsidRPr="00C50434">
        <w:rPr>
          <w:rFonts w:ascii="Times New Roman" w:hAnsi="Times New Roman" w:cs="Times New Roman"/>
          <w:sz w:val="20"/>
          <w:szCs w:val="20"/>
        </w:rPr>
        <w:lastRenderedPageBreak/>
        <w:t>У 2012 р. Європейська Комісія представила нову Програму дій Союзу з охорони навколишнього середовища до 2020 року «жити добре, у межах можливостей нашої планети», яка буде керівною для екологічної політики на період до 2020 року. Цей стратегічний документ спрямований на підвищення екологічної сталості в Європі та перетворення ЄС в інклюзивну і сталу</w:t>
      </w:r>
      <w:r>
        <w:rPr>
          <w:rFonts w:ascii="Times New Roman" w:hAnsi="Times New Roman" w:cs="Times New Roman"/>
          <w:sz w:val="20"/>
          <w:szCs w:val="20"/>
        </w:rPr>
        <w:t xml:space="preserve"> </w:t>
      </w:r>
      <w:r w:rsidRPr="00C50434">
        <w:rPr>
          <w:rFonts w:ascii="Times New Roman" w:hAnsi="Times New Roman" w:cs="Times New Roman"/>
          <w:sz w:val="20"/>
          <w:szCs w:val="20"/>
        </w:rPr>
        <w:t>«зелену» економіку і містить такі тематичні пріоритети:</w:t>
      </w:r>
      <w:r>
        <w:rPr>
          <w:rFonts w:ascii="Times New Roman" w:hAnsi="Times New Roman" w:cs="Times New Roman"/>
          <w:sz w:val="20"/>
          <w:szCs w:val="20"/>
        </w:rPr>
        <w:t xml:space="preserve"> </w:t>
      </w:r>
      <w:r w:rsidRPr="00C50434">
        <w:rPr>
          <w:rFonts w:ascii="Times New Roman" w:hAnsi="Times New Roman" w:cs="Times New Roman"/>
          <w:sz w:val="20"/>
          <w:szCs w:val="20"/>
        </w:rPr>
        <w:t>Пріоритетна мета 1: Захист, збереження та розвиток природного капіталу ЄС,</w:t>
      </w:r>
      <w:r>
        <w:rPr>
          <w:rFonts w:ascii="Times New Roman" w:hAnsi="Times New Roman" w:cs="Times New Roman"/>
          <w:sz w:val="20"/>
          <w:szCs w:val="20"/>
        </w:rPr>
        <w:t xml:space="preserve"> </w:t>
      </w:r>
      <w:r w:rsidRPr="00C50434">
        <w:rPr>
          <w:rFonts w:ascii="Times New Roman" w:hAnsi="Times New Roman" w:cs="Times New Roman"/>
          <w:sz w:val="20"/>
          <w:szCs w:val="20"/>
        </w:rPr>
        <w:t>Пріоритетна мета 2: Перетворення ЄС на ресурсозберігальну,</w:t>
      </w:r>
      <w:r>
        <w:rPr>
          <w:rFonts w:ascii="Times New Roman" w:hAnsi="Times New Roman" w:cs="Times New Roman"/>
          <w:sz w:val="20"/>
          <w:szCs w:val="20"/>
        </w:rPr>
        <w:t xml:space="preserve"> </w:t>
      </w:r>
      <w:r w:rsidRPr="00C50434">
        <w:rPr>
          <w:rFonts w:ascii="Times New Roman" w:hAnsi="Times New Roman" w:cs="Times New Roman"/>
          <w:sz w:val="20"/>
          <w:szCs w:val="20"/>
        </w:rPr>
        <w:t>«зелену» та конкурентоспроможну низьковуглецеву економіку.</w:t>
      </w:r>
      <w:r>
        <w:rPr>
          <w:rFonts w:ascii="Times New Roman" w:hAnsi="Times New Roman" w:cs="Times New Roman"/>
          <w:sz w:val="20"/>
          <w:szCs w:val="20"/>
        </w:rPr>
        <w:t xml:space="preserve"> </w:t>
      </w:r>
      <w:r w:rsidRPr="00C50434">
        <w:rPr>
          <w:rFonts w:ascii="Times New Roman" w:hAnsi="Times New Roman" w:cs="Times New Roman"/>
          <w:sz w:val="20"/>
          <w:szCs w:val="20"/>
        </w:rPr>
        <w:t>Пріоритетна мета 3: Захист громадян ЄС від екологічних тисків та ризиків для здоров'я і добробуту,</w:t>
      </w:r>
      <w:r>
        <w:rPr>
          <w:rFonts w:ascii="Times New Roman" w:hAnsi="Times New Roman" w:cs="Times New Roman"/>
          <w:sz w:val="20"/>
          <w:szCs w:val="20"/>
        </w:rPr>
        <w:t xml:space="preserve"> </w:t>
      </w:r>
      <w:r w:rsidRPr="00C50434">
        <w:rPr>
          <w:rFonts w:ascii="Times New Roman" w:hAnsi="Times New Roman" w:cs="Times New Roman"/>
          <w:sz w:val="20"/>
          <w:szCs w:val="20"/>
        </w:rPr>
        <w:t>Пріоритетна мета 4: Максимізація переваг екологічного права ЄС,</w:t>
      </w:r>
      <w:r>
        <w:rPr>
          <w:rFonts w:ascii="Times New Roman" w:hAnsi="Times New Roman" w:cs="Times New Roman"/>
          <w:sz w:val="20"/>
          <w:szCs w:val="20"/>
        </w:rPr>
        <w:t xml:space="preserve"> </w:t>
      </w:r>
      <w:r w:rsidRPr="00C50434">
        <w:rPr>
          <w:rFonts w:ascii="Times New Roman" w:hAnsi="Times New Roman" w:cs="Times New Roman"/>
          <w:sz w:val="20"/>
          <w:szCs w:val="20"/>
        </w:rPr>
        <w:t>Пріоритетна мета 5: Поліпшення доказової бази екологічної політики,</w:t>
      </w:r>
      <w:r>
        <w:rPr>
          <w:rFonts w:ascii="Times New Roman" w:hAnsi="Times New Roman" w:cs="Times New Roman"/>
          <w:sz w:val="20"/>
          <w:szCs w:val="20"/>
        </w:rPr>
        <w:t xml:space="preserve"> </w:t>
      </w:r>
      <w:r w:rsidRPr="00C50434">
        <w:rPr>
          <w:rFonts w:ascii="Times New Roman" w:hAnsi="Times New Roman" w:cs="Times New Roman"/>
          <w:sz w:val="20"/>
          <w:szCs w:val="20"/>
        </w:rPr>
        <w:t>Пріоритетна мета 6: Забезпечення інвестицій в екологічну та кліматичну політику та досягнення відповідної вартості інвестицій,</w:t>
      </w:r>
      <w:r>
        <w:rPr>
          <w:rFonts w:ascii="Times New Roman" w:hAnsi="Times New Roman" w:cs="Times New Roman"/>
          <w:sz w:val="20"/>
          <w:szCs w:val="20"/>
        </w:rPr>
        <w:t xml:space="preserve"> </w:t>
      </w:r>
      <w:r w:rsidRPr="00C50434">
        <w:rPr>
          <w:rFonts w:ascii="Times New Roman" w:hAnsi="Times New Roman" w:cs="Times New Roman"/>
          <w:sz w:val="20"/>
          <w:szCs w:val="20"/>
        </w:rPr>
        <w:t>Пріоритетна мета 7: Поліпшення екологічної інтеграції та узгодженості політики,</w:t>
      </w:r>
      <w:r>
        <w:rPr>
          <w:rFonts w:ascii="Times New Roman" w:hAnsi="Times New Roman" w:cs="Times New Roman"/>
          <w:sz w:val="20"/>
          <w:szCs w:val="20"/>
        </w:rPr>
        <w:t xml:space="preserve"> </w:t>
      </w:r>
      <w:r w:rsidRPr="00C50434">
        <w:rPr>
          <w:rFonts w:ascii="Times New Roman" w:hAnsi="Times New Roman" w:cs="Times New Roman"/>
          <w:sz w:val="20"/>
          <w:szCs w:val="20"/>
        </w:rPr>
        <w:t>Пріоритетна мета 8: Підвищення сталості міст ЄС,</w:t>
      </w:r>
      <w:r>
        <w:rPr>
          <w:rFonts w:ascii="Times New Roman" w:hAnsi="Times New Roman" w:cs="Times New Roman"/>
          <w:sz w:val="20"/>
          <w:szCs w:val="20"/>
        </w:rPr>
        <w:t xml:space="preserve"> </w:t>
      </w:r>
      <w:r w:rsidRPr="00C50434">
        <w:rPr>
          <w:rFonts w:ascii="Times New Roman" w:hAnsi="Times New Roman" w:cs="Times New Roman"/>
          <w:sz w:val="20"/>
          <w:szCs w:val="20"/>
        </w:rPr>
        <w:t>Пріоритетна мета 9: Підвищення ефективності діяльності ЄС щодо реагування на регіональні та глобальні екологічні та кліматичні виклики.</w:t>
      </w:r>
    </w:p>
    <w:p w14:paraId="20774BB1" w14:textId="77777777" w:rsidR="008B6F2E" w:rsidRPr="009E6E4A" w:rsidRDefault="008B6F2E" w:rsidP="008B6F2E">
      <w:pPr>
        <w:adjustRightInd w:val="0"/>
        <w:snapToGrid w:val="0"/>
        <w:spacing w:after="0" w:line="240" w:lineRule="auto"/>
        <w:ind w:firstLine="567"/>
        <w:jc w:val="both"/>
        <w:rPr>
          <w:rFonts w:ascii="Times New Roman" w:hAnsi="Times New Roman" w:cs="Times New Roman"/>
          <w:sz w:val="20"/>
          <w:szCs w:val="20"/>
        </w:rPr>
      </w:pPr>
      <w:r w:rsidRPr="009E6E4A">
        <w:rPr>
          <w:rFonts w:ascii="Times New Roman" w:hAnsi="Times New Roman" w:cs="Times New Roman"/>
          <w:sz w:val="20"/>
          <w:szCs w:val="20"/>
        </w:rPr>
        <w:t>Відповідно до статті 191 Договору про функціонування Європейського Союзу ця Програма ґрунтується на принципі вжиття заходів перестороги, а також на принципах вжиття запобіжних заходів, відшкодування шкоди, завданої навколишньому середовищу, передусім у джерелі забруднення, і принципі «забруднювач зaплaтить». Усі заходи, дії та цілі, визначені в Програмі, повинні реалізовуватися відповідно до принципів «розумного» регулювання та проведення комплексної оцінки впливу в разі необхідності.</w:t>
      </w:r>
    </w:p>
    <w:p w14:paraId="2926D4EC" w14:textId="77777777" w:rsidR="006A3179" w:rsidRDefault="008B6F2E" w:rsidP="006A3179">
      <w:pPr>
        <w:adjustRightInd w:val="0"/>
        <w:snapToGrid w:val="0"/>
        <w:spacing w:after="0" w:line="240" w:lineRule="auto"/>
        <w:ind w:firstLine="567"/>
        <w:jc w:val="both"/>
        <w:rPr>
          <w:rFonts w:ascii="Times New Roman" w:hAnsi="Times New Roman" w:cs="Times New Roman"/>
          <w:sz w:val="20"/>
          <w:szCs w:val="20"/>
        </w:rPr>
      </w:pPr>
      <w:r>
        <w:rPr>
          <w:rFonts w:ascii="Times New Roman" w:hAnsi="Times New Roman" w:cs="Times New Roman"/>
          <w:sz w:val="20"/>
          <w:szCs w:val="20"/>
        </w:rPr>
        <w:t>О</w:t>
      </w:r>
      <w:r w:rsidRPr="00C50434">
        <w:rPr>
          <w:rFonts w:ascii="Times New Roman" w:hAnsi="Times New Roman" w:cs="Times New Roman"/>
          <w:sz w:val="20"/>
          <w:szCs w:val="20"/>
        </w:rPr>
        <w:t>собливий акцент робиться на синергії розвитку «зеленої» економіки та екологічно орієнтованого бізнесу.</w:t>
      </w:r>
      <w:r>
        <w:rPr>
          <w:rFonts w:ascii="Times New Roman" w:hAnsi="Times New Roman" w:cs="Times New Roman"/>
          <w:sz w:val="20"/>
          <w:szCs w:val="20"/>
        </w:rPr>
        <w:t xml:space="preserve"> </w:t>
      </w:r>
      <w:r w:rsidRPr="00C50434">
        <w:rPr>
          <w:rFonts w:ascii="Times New Roman" w:hAnsi="Times New Roman" w:cs="Times New Roman"/>
          <w:sz w:val="20"/>
          <w:szCs w:val="20"/>
        </w:rPr>
        <w:t>У вересні 2015 року в рамках 70-ї сесії Генеральної Асамблеї ООН у Нью-Йорку відбувся Саміт ООН зі сталого розвитку та прийняття Порядку денного розвитку після 2015 року, на якому було затверджено нові орієнтири</w:t>
      </w:r>
      <w:r>
        <w:rPr>
          <w:rFonts w:ascii="Times New Roman" w:hAnsi="Times New Roman" w:cs="Times New Roman"/>
          <w:sz w:val="20"/>
          <w:szCs w:val="20"/>
        </w:rPr>
        <w:t xml:space="preserve"> </w:t>
      </w:r>
      <w:r w:rsidRPr="00C50434">
        <w:rPr>
          <w:rFonts w:ascii="Times New Roman" w:hAnsi="Times New Roman" w:cs="Times New Roman"/>
          <w:sz w:val="20"/>
          <w:szCs w:val="20"/>
        </w:rPr>
        <w:t xml:space="preserve">«зеленого» розвитку. Підсумковим документом Саміту «Перетворення нашого світу: порядок денний у сфері сталого розвитку до 2030 року» було затверджено 17 Цілей Сталого Розвитку та 169 завдань. Згідно з новим глобальним </w:t>
      </w:r>
      <w:r w:rsidRPr="00C50434">
        <w:rPr>
          <w:rFonts w:ascii="Times New Roman" w:hAnsi="Times New Roman" w:cs="Times New Roman"/>
          <w:i/>
          <w:sz w:val="20"/>
          <w:szCs w:val="20"/>
        </w:rPr>
        <w:t>Порядком денним на період до 2030 року</w:t>
      </w:r>
      <w:r w:rsidRPr="00C50434">
        <w:rPr>
          <w:rFonts w:ascii="Times New Roman" w:hAnsi="Times New Roman" w:cs="Times New Roman"/>
          <w:sz w:val="20"/>
          <w:szCs w:val="20"/>
        </w:rPr>
        <w:t>, прийнятим 193 країнами – членами ООН, було задекларовано, що важливим фактором забезпечення нової динаміки розвитку є інклюзивна трансформаційна економіка, яка базується на стійких структурах виробництва і споживання.</w:t>
      </w:r>
    </w:p>
    <w:p w14:paraId="7A36C49F" w14:textId="192B31EB" w:rsidR="008B6F2E" w:rsidRPr="006A3179" w:rsidRDefault="008B6F2E" w:rsidP="006A3179">
      <w:pPr>
        <w:adjustRightInd w:val="0"/>
        <w:snapToGrid w:val="0"/>
        <w:spacing w:after="0" w:line="240" w:lineRule="auto"/>
        <w:ind w:firstLine="567"/>
        <w:jc w:val="both"/>
        <w:rPr>
          <w:rFonts w:ascii="Times New Roman" w:hAnsi="Times New Roman" w:cs="Times New Roman"/>
          <w:sz w:val="20"/>
          <w:szCs w:val="20"/>
        </w:rPr>
      </w:pPr>
      <w:r w:rsidRPr="00C50434">
        <w:rPr>
          <w:rFonts w:ascii="Times New Roman" w:hAnsi="Times New Roman" w:cs="Times New Roman"/>
          <w:sz w:val="20"/>
          <w:szCs w:val="20"/>
        </w:rPr>
        <w:t>Визначення завдань ЦСР для подальшого (на 15 poків) монiторингу започаткувало національний дискурс щодо вимірювання суспільного прогресу в цілому та вдосконалення систем національної статистики. Необхідним є створення відкритої платформи для забезпечення широкої участі всіх зацікавлених у моніторингу досягнення Цілей Сталого Розвитку, що потребує глибоких соціально-економічних перетворень та нового глобального партнерства.</w:t>
      </w:r>
      <w:r>
        <w:rPr>
          <w:rFonts w:ascii="Times New Roman" w:hAnsi="Times New Roman" w:cs="Times New Roman"/>
          <w:b/>
          <w:bCs/>
          <w:sz w:val="16"/>
          <w:szCs w:val="16"/>
        </w:rPr>
        <w:br w:type="page"/>
      </w:r>
    </w:p>
    <w:p w14:paraId="17DCB4D6" w14:textId="77777777" w:rsidR="00A1205E" w:rsidRDefault="00A1205E">
      <w:pPr>
        <w:rPr>
          <w:rFonts w:ascii="Times New Roman" w:hAnsi="Times New Roman" w:cs="Times New Roman"/>
          <w:b/>
          <w:bCs/>
          <w:sz w:val="16"/>
          <w:szCs w:val="16"/>
        </w:rPr>
      </w:pPr>
    </w:p>
    <w:p w14:paraId="1A26871D" w14:textId="77777777" w:rsidR="00A1205E" w:rsidRDefault="00A1205E" w:rsidP="00A1205E">
      <w:pPr>
        <w:adjustRightInd w:val="0"/>
        <w:snapToGrid w:val="0"/>
        <w:spacing w:after="0" w:line="240" w:lineRule="auto"/>
        <w:ind w:firstLine="567"/>
        <w:jc w:val="both"/>
        <w:rPr>
          <w:rFonts w:ascii="Times New Roman" w:hAnsi="Times New Roman" w:cs="Times New Roman"/>
          <w:b/>
          <w:bCs/>
          <w:sz w:val="20"/>
          <w:szCs w:val="20"/>
        </w:rPr>
      </w:pPr>
      <w:bookmarkStart w:id="9" w:name="_Hlk221213405"/>
      <w:r w:rsidRPr="00976537">
        <w:rPr>
          <w:rFonts w:ascii="Times New Roman" w:hAnsi="Times New Roman" w:cs="Times New Roman"/>
          <w:b/>
          <w:bCs/>
          <w:sz w:val="20"/>
          <w:szCs w:val="20"/>
        </w:rPr>
        <w:t xml:space="preserve">Тема </w:t>
      </w:r>
      <w:r>
        <w:rPr>
          <w:rFonts w:ascii="Times New Roman" w:hAnsi="Times New Roman" w:cs="Times New Roman"/>
          <w:b/>
          <w:bCs/>
          <w:sz w:val="20"/>
          <w:szCs w:val="20"/>
        </w:rPr>
        <w:t>8</w:t>
      </w:r>
      <w:r w:rsidRPr="00976537">
        <w:rPr>
          <w:rFonts w:ascii="Times New Roman" w:hAnsi="Times New Roman" w:cs="Times New Roman"/>
          <w:b/>
          <w:bCs/>
          <w:sz w:val="20"/>
          <w:szCs w:val="20"/>
        </w:rPr>
        <w:t xml:space="preserve">. </w:t>
      </w:r>
      <w:bookmarkEnd w:id="9"/>
      <w:r w:rsidRPr="00384FDF">
        <w:rPr>
          <w:rFonts w:ascii="Times New Roman" w:hAnsi="Times New Roman" w:cs="Times New Roman"/>
          <w:b/>
          <w:bCs/>
          <w:sz w:val="20"/>
          <w:szCs w:val="20"/>
        </w:rPr>
        <w:t>«Зелений» бізнес. Проектний підхід у реалізації принципів «зеленої» економіки</w:t>
      </w:r>
    </w:p>
    <w:p w14:paraId="2AC681B4" w14:textId="184F2108" w:rsidR="00A1205E" w:rsidRPr="006A3179" w:rsidRDefault="00A1205E" w:rsidP="006A3179">
      <w:pPr>
        <w:adjustRightInd w:val="0"/>
        <w:snapToGrid w:val="0"/>
        <w:spacing w:after="0" w:line="240" w:lineRule="auto"/>
        <w:ind w:firstLine="567"/>
        <w:jc w:val="both"/>
        <w:rPr>
          <w:rFonts w:ascii="Times New Roman" w:hAnsi="Times New Roman" w:cs="Times New Roman"/>
          <w:b/>
          <w:bCs/>
          <w:sz w:val="20"/>
          <w:szCs w:val="20"/>
        </w:rPr>
      </w:pPr>
      <w:r w:rsidRPr="00976537">
        <w:rPr>
          <w:rFonts w:ascii="Times New Roman" w:hAnsi="Times New Roman" w:cs="Times New Roman"/>
          <w:sz w:val="20"/>
          <w:szCs w:val="20"/>
        </w:rPr>
        <w:t>На рубежі нового тисячоліччя виникла необхідність нового бачення світовим співтовариством глобальної екологічної ситуації. Іншими словами, наступила епоха</w:t>
      </w:r>
      <w:r w:rsidR="006A3179">
        <w:rPr>
          <w:rFonts w:ascii="Times New Roman" w:hAnsi="Times New Roman" w:cs="Times New Roman"/>
          <w:b/>
          <w:bCs/>
          <w:sz w:val="20"/>
          <w:szCs w:val="20"/>
        </w:rPr>
        <w:t xml:space="preserve"> </w:t>
      </w:r>
      <w:r w:rsidRPr="00976537">
        <w:rPr>
          <w:rFonts w:ascii="Times New Roman" w:hAnsi="Times New Roman" w:cs="Times New Roman"/>
          <w:sz w:val="20"/>
          <w:szCs w:val="20"/>
        </w:rPr>
        <w:t>«нової відповідальності» усіх держав за безпеку земної цивілізації. Колишні уявлення про життя для себе, для блага лише своїх територій і народів за рахунок обмеження інтересів інших цілком себе вичерпали.</w:t>
      </w:r>
    </w:p>
    <w:p w14:paraId="41AA539E" w14:textId="161907F8" w:rsidR="00A1205E" w:rsidRPr="00976537" w:rsidRDefault="00A1205E" w:rsidP="00A6446B">
      <w:pPr>
        <w:adjustRightInd w:val="0"/>
        <w:snapToGrid w:val="0"/>
        <w:spacing w:after="0" w:line="240" w:lineRule="auto"/>
        <w:ind w:firstLine="567"/>
        <w:jc w:val="both"/>
        <w:rPr>
          <w:rFonts w:ascii="Times New Roman" w:hAnsi="Times New Roman" w:cs="Times New Roman"/>
          <w:sz w:val="20"/>
          <w:szCs w:val="20"/>
        </w:rPr>
      </w:pPr>
      <w:r w:rsidRPr="00976537">
        <w:rPr>
          <w:rFonts w:ascii="Times New Roman" w:hAnsi="Times New Roman" w:cs="Times New Roman"/>
          <w:sz w:val="20"/>
          <w:szCs w:val="20"/>
        </w:rPr>
        <w:t>Усвідомлення екологічної небезпеки, яка загрожує людству, об'єднало сьогодні зусилля вчених, політиків і бізнесменів для пошуку виходу з цієї ситуації. Збереження екологічного балансу стало основним напрямком при розв’язанні проблем захисту навколишнього середовища й розвитку бізнесу. У 1987 р. Всесвітня комісія з навколишнього середовища і розвитку, створена з ініціативи Генеральної Асамблеї ООН, декларувала проблему стійкого економічного розвитку й економічної рівноваги в доповіді «Наше загальне майбутнє» як загальну форму розвитку і прогресу суспільства. Задоволення потреб сьогоднішніх жителів Землі не повинно обмежувати можливості майбутніх поколінь забезпечити своє існування. При цьому мається на увазі перетворення людських і фінансових ресурсів, а також ресурсів живої і неживої природи, для задоволення розумних потреб людини при безупинному поліпшенні умов її життя. Здійснення стійкого розвитку вимагає нових форм фінансового</w:t>
      </w:r>
      <w:r w:rsidR="00A6446B">
        <w:rPr>
          <w:rFonts w:ascii="Times New Roman" w:hAnsi="Times New Roman" w:cs="Times New Roman"/>
          <w:sz w:val="20"/>
          <w:szCs w:val="20"/>
        </w:rPr>
        <w:t xml:space="preserve"> </w:t>
      </w:r>
      <w:r w:rsidRPr="00976537">
        <w:rPr>
          <w:rFonts w:ascii="Times New Roman" w:hAnsi="Times New Roman" w:cs="Times New Roman"/>
          <w:sz w:val="20"/>
          <w:szCs w:val="20"/>
        </w:rPr>
        <w:t xml:space="preserve">співробітництва й нових способів фінансування проектів. При цьому </w:t>
      </w:r>
      <w:r w:rsidRPr="00976537">
        <w:rPr>
          <w:rFonts w:ascii="Times New Roman" w:hAnsi="Times New Roman" w:cs="Times New Roman"/>
          <w:b/>
          <w:sz w:val="20"/>
          <w:szCs w:val="20"/>
        </w:rPr>
        <w:t xml:space="preserve">«зелена» індустрія або «зелені» сектори економіки </w:t>
      </w:r>
      <w:r w:rsidRPr="00976537">
        <w:rPr>
          <w:rFonts w:ascii="Times New Roman" w:hAnsi="Times New Roman" w:cs="Times New Roman"/>
          <w:sz w:val="20"/>
          <w:szCs w:val="20"/>
        </w:rPr>
        <w:t xml:space="preserve">покликані матеріалізувати нові джерела зростання, пов'язані з ефективним використанням природних ресурсів та екоефективних технологій, у екологічну продукцію та послуги, а отже, у додану вартість та прибутки компаній, що займаються цією діяльністю. Сприяння їх розвитку та «позелененню» традиційних «коричневих» технологій і </w:t>
      </w:r>
      <w:r w:rsidRPr="00976537">
        <w:rPr>
          <w:rFonts w:ascii="Times New Roman" w:hAnsi="Times New Roman" w:cs="Times New Roman"/>
          <w:b/>
          <w:sz w:val="20"/>
          <w:szCs w:val="20"/>
        </w:rPr>
        <w:t xml:space="preserve">моделей ведення бізнесу </w:t>
      </w:r>
      <w:r w:rsidRPr="00976537">
        <w:rPr>
          <w:rFonts w:ascii="Times New Roman" w:hAnsi="Times New Roman" w:cs="Times New Roman"/>
          <w:sz w:val="20"/>
          <w:szCs w:val="20"/>
        </w:rPr>
        <w:t>становить центральне завдання державних стратегій переходу до більш «зеленої» економіки.</w:t>
      </w:r>
    </w:p>
    <w:p w14:paraId="3E56AE9D" w14:textId="77777777" w:rsidR="00A1205E" w:rsidRPr="00976537" w:rsidRDefault="00A1205E" w:rsidP="00A1205E">
      <w:pPr>
        <w:adjustRightInd w:val="0"/>
        <w:snapToGrid w:val="0"/>
        <w:spacing w:after="0" w:line="240" w:lineRule="auto"/>
        <w:ind w:firstLine="567"/>
        <w:jc w:val="both"/>
        <w:rPr>
          <w:rFonts w:ascii="Times New Roman" w:hAnsi="Times New Roman" w:cs="Times New Roman"/>
          <w:sz w:val="20"/>
          <w:szCs w:val="20"/>
        </w:rPr>
      </w:pPr>
      <w:r w:rsidRPr="00976537">
        <w:rPr>
          <w:rFonts w:ascii="Times New Roman" w:hAnsi="Times New Roman" w:cs="Times New Roman"/>
          <w:sz w:val="20"/>
          <w:szCs w:val="20"/>
        </w:rPr>
        <w:t xml:space="preserve">Перехід на світовому рівні до технологій та методів, які є менш екологічно шкідливими, було визнано життєво важливим для забезпечення подальшого розвитку людства, а прийняття та впровадження екологічних норм, усунення </w:t>
      </w:r>
      <w:r w:rsidRPr="00976537">
        <w:rPr>
          <w:rFonts w:ascii="Times New Roman" w:hAnsi="Times New Roman" w:cs="Times New Roman"/>
          <w:b/>
          <w:sz w:val="20"/>
          <w:szCs w:val="20"/>
        </w:rPr>
        <w:t xml:space="preserve">екологічно шкідливих субсидій </w:t>
      </w:r>
      <w:r w:rsidRPr="00976537">
        <w:rPr>
          <w:rFonts w:ascii="Times New Roman" w:hAnsi="Times New Roman" w:cs="Times New Roman"/>
          <w:sz w:val="20"/>
          <w:szCs w:val="20"/>
        </w:rPr>
        <w:t xml:space="preserve">на використання ресурсів, підвищення цін на енергоносії та сировину стимулювали технологічне оновлення галузей, спрямованих на скорочення свого негативного впливу, що отримало назву </w:t>
      </w:r>
      <w:r w:rsidRPr="00976537">
        <w:rPr>
          <w:rFonts w:ascii="Times New Roman" w:hAnsi="Times New Roman" w:cs="Times New Roman"/>
          <w:b/>
          <w:i/>
          <w:sz w:val="20"/>
          <w:szCs w:val="20"/>
        </w:rPr>
        <w:t>озеленення бізнесу</w:t>
      </w:r>
      <w:r w:rsidRPr="00976537">
        <w:rPr>
          <w:rFonts w:ascii="Times New Roman" w:hAnsi="Times New Roman" w:cs="Times New Roman"/>
          <w:sz w:val="20"/>
          <w:szCs w:val="20"/>
        </w:rPr>
        <w:t xml:space="preserve">, </w:t>
      </w:r>
      <w:r w:rsidRPr="00976537">
        <w:rPr>
          <w:rFonts w:ascii="Times New Roman" w:hAnsi="Times New Roman" w:cs="Times New Roman"/>
          <w:b/>
          <w:sz w:val="20"/>
          <w:szCs w:val="20"/>
        </w:rPr>
        <w:t xml:space="preserve">а компанії почали називатися </w:t>
      </w:r>
      <w:r w:rsidRPr="00976537">
        <w:rPr>
          <w:rFonts w:ascii="Times New Roman" w:hAnsi="Times New Roman" w:cs="Times New Roman"/>
          <w:b/>
          <w:i/>
          <w:sz w:val="20"/>
          <w:szCs w:val="20"/>
        </w:rPr>
        <w:t xml:space="preserve">зеленими підприємствами </w:t>
      </w:r>
      <w:r w:rsidRPr="00976537">
        <w:rPr>
          <w:rFonts w:ascii="Times New Roman" w:hAnsi="Times New Roman" w:cs="Times New Roman"/>
          <w:b/>
          <w:sz w:val="20"/>
          <w:szCs w:val="20"/>
        </w:rPr>
        <w:t>або екологічно відповідальним бізнесом</w:t>
      </w:r>
      <w:r w:rsidRPr="00976537">
        <w:rPr>
          <w:rFonts w:ascii="Times New Roman" w:hAnsi="Times New Roman" w:cs="Times New Roman"/>
          <w:sz w:val="20"/>
          <w:szCs w:val="20"/>
        </w:rPr>
        <w:t>. Одночасно ці процеси призвели до динамічного та стрімкого зростання кількості компаній, що пропонують товари і послуги, які дозволяють збільшити ефективність використання ресурсів, покращення поводження з від-</w:t>
      </w:r>
    </w:p>
    <w:p w14:paraId="1E758B30" w14:textId="77777777" w:rsidR="00A1205E" w:rsidRPr="00976537" w:rsidRDefault="00A1205E" w:rsidP="00A1205E">
      <w:pPr>
        <w:adjustRightInd w:val="0"/>
        <w:snapToGrid w:val="0"/>
        <w:spacing w:after="0" w:line="240" w:lineRule="auto"/>
        <w:ind w:firstLine="567"/>
        <w:jc w:val="both"/>
        <w:rPr>
          <w:rFonts w:ascii="Times New Roman" w:hAnsi="Times New Roman" w:cs="Times New Roman"/>
          <w:b/>
          <w:i/>
          <w:sz w:val="20"/>
          <w:szCs w:val="20"/>
        </w:rPr>
      </w:pPr>
      <w:r w:rsidRPr="00976537">
        <w:rPr>
          <w:rFonts w:ascii="Times New Roman" w:hAnsi="Times New Roman" w:cs="Times New Roman"/>
          <w:sz w:val="20"/>
          <w:szCs w:val="20"/>
        </w:rPr>
        <w:lastRenderedPageBreak/>
        <w:t xml:space="preserve">ходами та мінімізацію шкоди навколишньому середовищу. Ці підприємства з’явилися в усіх секторах економіки і згодом стали називатися </w:t>
      </w:r>
      <w:r w:rsidRPr="00976537">
        <w:rPr>
          <w:rFonts w:ascii="Times New Roman" w:hAnsi="Times New Roman" w:cs="Times New Roman"/>
          <w:b/>
          <w:i/>
          <w:sz w:val="20"/>
          <w:szCs w:val="20"/>
        </w:rPr>
        <w:t>«сектором екологічних товарів та послуг», або</w:t>
      </w:r>
      <w:r>
        <w:rPr>
          <w:rFonts w:ascii="Times New Roman" w:hAnsi="Times New Roman" w:cs="Times New Roman"/>
          <w:b/>
          <w:i/>
          <w:sz w:val="20"/>
          <w:szCs w:val="20"/>
        </w:rPr>
        <w:t xml:space="preserve"> </w:t>
      </w:r>
      <w:r w:rsidRPr="00976537">
        <w:rPr>
          <w:rFonts w:ascii="Times New Roman" w:hAnsi="Times New Roman" w:cs="Times New Roman"/>
          <w:b/>
          <w:i/>
          <w:sz w:val="20"/>
          <w:szCs w:val="20"/>
        </w:rPr>
        <w:t>«зеленим» бізнесом</w:t>
      </w:r>
      <w:r w:rsidRPr="00976537">
        <w:rPr>
          <w:rFonts w:ascii="Times New Roman" w:hAnsi="Times New Roman" w:cs="Times New Roman"/>
          <w:sz w:val="20"/>
          <w:szCs w:val="20"/>
        </w:rPr>
        <w:t>.</w:t>
      </w:r>
    </w:p>
    <w:p w14:paraId="1E697539" w14:textId="77777777" w:rsidR="00A1205E" w:rsidRPr="00976537" w:rsidRDefault="00A1205E" w:rsidP="00A1205E">
      <w:pPr>
        <w:adjustRightInd w:val="0"/>
        <w:snapToGrid w:val="0"/>
        <w:spacing w:after="0" w:line="240" w:lineRule="auto"/>
        <w:ind w:firstLine="567"/>
        <w:jc w:val="both"/>
        <w:rPr>
          <w:rFonts w:ascii="Times New Roman" w:hAnsi="Times New Roman" w:cs="Times New Roman"/>
          <w:sz w:val="20"/>
          <w:szCs w:val="20"/>
        </w:rPr>
      </w:pPr>
      <w:r w:rsidRPr="00976537">
        <w:rPr>
          <w:rFonts w:ascii="Times New Roman" w:hAnsi="Times New Roman" w:cs="Times New Roman"/>
          <w:sz w:val="20"/>
          <w:szCs w:val="20"/>
        </w:rPr>
        <w:t>Ідеологія «зеленого» бізнесу добре вписується в потребу покращення стану навколишнього середовища, забезпечуючи одночасно й економічний розвиток. Зростання уваги до проблем зеленого бізнесу розпочалося після Саміту Землі в Ріо-де-Жанейро 1992 р. Здійснення стійкого розвитку вимагає нових форм фінансового співробітництва і нових способів фінансування проектів. При цьому важливу роль у фінансуванні природоохоронних заходів відіграє партнерство різних суспільних сегментів. Історично склалася така тенденція, що до останнього часу всі проблеми, пов'язані з екологією й розвитком, фінансувалися винятково за рахунок державних кредитів. Зараз усе більше уваги приділяється приватному сектору. Згідно з експертними даними, на сьогодні він має левову частку у фінансуванні екологічних проектів.</w:t>
      </w:r>
    </w:p>
    <w:p w14:paraId="4EC2DBCE" w14:textId="77777777" w:rsidR="00A1205E" w:rsidRPr="00976537" w:rsidRDefault="00A1205E" w:rsidP="00A1205E">
      <w:pPr>
        <w:adjustRightInd w:val="0"/>
        <w:snapToGrid w:val="0"/>
        <w:spacing w:after="0" w:line="240" w:lineRule="auto"/>
        <w:ind w:firstLine="567"/>
        <w:jc w:val="both"/>
        <w:rPr>
          <w:rFonts w:ascii="Times New Roman" w:hAnsi="Times New Roman" w:cs="Times New Roman"/>
          <w:sz w:val="20"/>
          <w:szCs w:val="20"/>
        </w:rPr>
      </w:pPr>
      <w:r w:rsidRPr="00976537">
        <w:rPr>
          <w:rFonts w:ascii="Times New Roman" w:hAnsi="Times New Roman" w:cs="Times New Roman"/>
          <w:sz w:val="20"/>
          <w:szCs w:val="20"/>
        </w:rPr>
        <w:t>Фінансові організації, що приділяють увагу питанням охорони навколишнього середовища, можуть зіграти важливу посередницьку роль у створенні підприємств, що відповідають концепції стійкого розвитку.</w:t>
      </w:r>
    </w:p>
    <w:p w14:paraId="24774E58" w14:textId="77777777" w:rsidR="00A1205E" w:rsidRPr="00976537" w:rsidRDefault="00A1205E" w:rsidP="00A1205E">
      <w:pPr>
        <w:adjustRightInd w:val="0"/>
        <w:snapToGrid w:val="0"/>
        <w:spacing w:after="0" w:line="240" w:lineRule="auto"/>
        <w:ind w:firstLine="567"/>
        <w:jc w:val="both"/>
        <w:rPr>
          <w:rFonts w:ascii="Times New Roman" w:hAnsi="Times New Roman" w:cs="Times New Roman"/>
          <w:sz w:val="20"/>
          <w:szCs w:val="20"/>
        </w:rPr>
      </w:pPr>
      <w:r w:rsidRPr="00976537">
        <w:rPr>
          <w:rFonts w:ascii="Times New Roman" w:hAnsi="Times New Roman" w:cs="Times New Roman"/>
          <w:b/>
          <w:sz w:val="20"/>
          <w:szCs w:val="20"/>
        </w:rPr>
        <w:t xml:space="preserve">«зелений», або екологічний бізнес </w:t>
      </w:r>
      <w:r w:rsidRPr="00976537">
        <w:rPr>
          <w:rFonts w:ascii="Times New Roman" w:hAnsi="Times New Roman" w:cs="Times New Roman"/>
          <w:sz w:val="20"/>
          <w:szCs w:val="20"/>
        </w:rPr>
        <w:t>являє собою багатогалузеву сферу підприємницької діяльності, що може забезпечувати не тільки екологічний, а й значний економічний ефект у загальнодержавному масштабі. Як економічний агент, джерело зайнятості та ключовий чинник економічного та соціального добробуту, цей сектор не може залишитися без змін. Для того, щоб розв’язувати проблеми сьогодення, забезпечувати економічний розвиток при збереженні високого рівня якості довкілля, було зроблено ставку на озеленення промисловості, вивільняючи потенціал екологічно збалансованого підприємництва. Цей аргумент було чітко визначено в основних стратегічних документах на міжнародному та регіональних рівнях, і наразі визначаються шляхи реалізації планів створення сприятливих умов і стимулів для озеленення підприємств. Після сплеску економічної кризи озеленення економіки було визнано міжнародними організаціями та країнами, що розвиваються, як шлях до відновлення, що дозволяє не тільки відновити темпи зростання до кризового рівня, але й збільшити їх. Важливу роль при цьому</w:t>
      </w:r>
      <w:r>
        <w:rPr>
          <w:rFonts w:ascii="Times New Roman" w:hAnsi="Times New Roman" w:cs="Times New Roman"/>
          <w:sz w:val="20"/>
          <w:szCs w:val="20"/>
        </w:rPr>
        <w:t xml:space="preserve"> </w:t>
      </w:r>
      <w:r w:rsidRPr="00976537">
        <w:rPr>
          <w:rFonts w:ascii="Times New Roman" w:hAnsi="Times New Roman" w:cs="Times New Roman"/>
          <w:sz w:val="20"/>
          <w:szCs w:val="20"/>
        </w:rPr>
        <w:t xml:space="preserve">відіграє </w:t>
      </w:r>
      <w:r w:rsidRPr="00976537">
        <w:rPr>
          <w:rFonts w:ascii="Times New Roman" w:hAnsi="Times New Roman" w:cs="Times New Roman"/>
          <w:b/>
          <w:sz w:val="20"/>
          <w:szCs w:val="20"/>
        </w:rPr>
        <w:t>активне бізнес-середовище</w:t>
      </w:r>
      <w:r w:rsidRPr="00976537">
        <w:rPr>
          <w:rFonts w:ascii="Times New Roman" w:hAnsi="Times New Roman" w:cs="Times New Roman"/>
          <w:sz w:val="20"/>
          <w:szCs w:val="20"/>
        </w:rPr>
        <w:t>.</w:t>
      </w:r>
    </w:p>
    <w:p w14:paraId="10055E03" w14:textId="77777777" w:rsidR="00A1205E" w:rsidRPr="00976537" w:rsidRDefault="00A1205E" w:rsidP="00A1205E">
      <w:pPr>
        <w:adjustRightInd w:val="0"/>
        <w:snapToGrid w:val="0"/>
        <w:spacing w:after="0" w:line="240" w:lineRule="auto"/>
        <w:ind w:firstLine="567"/>
        <w:jc w:val="both"/>
        <w:rPr>
          <w:rFonts w:ascii="Times New Roman" w:hAnsi="Times New Roman" w:cs="Times New Roman"/>
          <w:sz w:val="20"/>
          <w:szCs w:val="20"/>
        </w:rPr>
      </w:pPr>
      <w:r w:rsidRPr="00976537">
        <w:rPr>
          <w:rFonts w:ascii="Times New Roman" w:hAnsi="Times New Roman" w:cs="Times New Roman"/>
          <w:sz w:val="20"/>
          <w:szCs w:val="20"/>
        </w:rPr>
        <w:t xml:space="preserve">Наприклад, у відповідь на фінансову та економічну кризу, у жовтні 2008 року Програма ООН з навколишнього середовища (ЮНЕП) закликала до </w:t>
      </w:r>
      <w:r w:rsidRPr="00976537">
        <w:rPr>
          <w:rFonts w:ascii="Times New Roman" w:hAnsi="Times New Roman" w:cs="Times New Roman"/>
          <w:b/>
          <w:sz w:val="20"/>
          <w:szCs w:val="20"/>
        </w:rPr>
        <w:t xml:space="preserve">«нової глобальної зеленої  угоди» </w:t>
      </w:r>
      <w:r w:rsidRPr="00976537">
        <w:rPr>
          <w:rFonts w:ascii="Times New Roman" w:hAnsi="Times New Roman" w:cs="Times New Roman"/>
          <w:sz w:val="20"/>
          <w:szCs w:val="20"/>
        </w:rPr>
        <w:t>з метою</w:t>
      </w:r>
    </w:p>
    <w:p w14:paraId="38F45CFA" w14:textId="77777777" w:rsidR="00A1205E" w:rsidRPr="00976537" w:rsidRDefault="00A1205E" w:rsidP="00A1205E">
      <w:pPr>
        <w:adjustRightInd w:val="0"/>
        <w:snapToGrid w:val="0"/>
        <w:spacing w:after="0" w:line="240" w:lineRule="auto"/>
        <w:ind w:firstLine="567"/>
        <w:jc w:val="both"/>
        <w:rPr>
          <w:rFonts w:ascii="Times New Roman" w:hAnsi="Times New Roman" w:cs="Times New Roman"/>
          <w:sz w:val="20"/>
          <w:szCs w:val="20"/>
        </w:rPr>
      </w:pPr>
      <w:r w:rsidRPr="00976537">
        <w:rPr>
          <w:rFonts w:ascii="Times New Roman" w:hAnsi="Times New Roman" w:cs="Times New Roman"/>
          <w:sz w:val="20"/>
          <w:szCs w:val="20"/>
        </w:rPr>
        <w:t>«відновлення світової економіки та підвищення зайнятості, з одночасним прискоренням боротьби зі змінами клімату, деградацією навколишнього середовища та бідності». Була оголошена Ініціатива «зеленої» економіки, призначена «для надання допомоги урядами в</w:t>
      </w:r>
    </w:p>
    <w:p w14:paraId="119FAC07" w14:textId="77777777" w:rsidR="00A1205E" w:rsidRPr="00976537" w:rsidRDefault="00A1205E" w:rsidP="00A1205E">
      <w:pPr>
        <w:adjustRightInd w:val="0"/>
        <w:snapToGrid w:val="0"/>
        <w:spacing w:after="0" w:line="240" w:lineRule="auto"/>
        <w:ind w:firstLine="567"/>
        <w:jc w:val="both"/>
        <w:rPr>
          <w:rFonts w:ascii="Times New Roman" w:hAnsi="Times New Roman" w:cs="Times New Roman"/>
          <w:sz w:val="20"/>
          <w:szCs w:val="20"/>
        </w:rPr>
      </w:pPr>
      <w:r w:rsidRPr="00976537">
        <w:rPr>
          <w:rFonts w:ascii="Times New Roman" w:hAnsi="Times New Roman" w:cs="Times New Roman"/>
          <w:sz w:val="20"/>
          <w:szCs w:val="20"/>
        </w:rPr>
        <w:t xml:space="preserve">«озелененні» економіки шляхом перебудови та переорієнтації політики, інвестицій і витрат на ряд секторів, таких як екологічно чисті технології, відновлювані джерела енергії, послуги водопостачання, «зелений» транспорт, </w:t>
      </w:r>
      <w:r w:rsidRPr="00976537">
        <w:rPr>
          <w:rFonts w:ascii="Times New Roman" w:hAnsi="Times New Roman" w:cs="Times New Roman"/>
          <w:sz w:val="20"/>
          <w:szCs w:val="20"/>
        </w:rPr>
        <w:lastRenderedPageBreak/>
        <w:t>управління відходами, «зелені» будівлі та стале сільське господарство й лісництво».</w:t>
      </w:r>
    </w:p>
    <w:p w14:paraId="35974DC7" w14:textId="77777777" w:rsidR="00A1205E" w:rsidRPr="00976537" w:rsidRDefault="00A1205E" w:rsidP="00A1205E">
      <w:pPr>
        <w:adjustRightInd w:val="0"/>
        <w:snapToGrid w:val="0"/>
        <w:spacing w:after="0" w:line="240" w:lineRule="auto"/>
        <w:ind w:firstLine="567"/>
        <w:jc w:val="both"/>
        <w:rPr>
          <w:rFonts w:ascii="Times New Roman" w:hAnsi="Times New Roman" w:cs="Times New Roman"/>
          <w:sz w:val="20"/>
          <w:szCs w:val="20"/>
        </w:rPr>
      </w:pPr>
      <w:r w:rsidRPr="00976537">
        <w:rPr>
          <w:rFonts w:ascii="Times New Roman" w:hAnsi="Times New Roman" w:cs="Times New Roman"/>
          <w:sz w:val="20"/>
          <w:szCs w:val="20"/>
        </w:rPr>
        <w:t>У червні 2009 р. міністри Організації економічного співробітництва та розвитку (ОЕСР) прийняли Декларацію про</w:t>
      </w:r>
    </w:p>
    <w:p w14:paraId="088F9ED7" w14:textId="77777777" w:rsidR="00A1205E" w:rsidRPr="00976537" w:rsidRDefault="00A1205E" w:rsidP="00A1205E">
      <w:pPr>
        <w:adjustRightInd w:val="0"/>
        <w:snapToGrid w:val="0"/>
        <w:spacing w:after="0" w:line="240" w:lineRule="auto"/>
        <w:ind w:firstLine="567"/>
        <w:jc w:val="both"/>
        <w:rPr>
          <w:rFonts w:ascii="Times New Roman" w:hAnsi="Times New Roman" w:cs="Times New Roman"/>
          <w:sz w:val="20"/>
          <w:szCs w:val="20"/>
        </w:rPr>
      </w:pPr>
      <w:r w:rsidRPr="00976537">
        <w:rPr>
          <w:rFonts w:ascii="Times New Roman" w:hAnsi="Times New Roman" w:cs="Times New Roman"/>
          <w:sz w:val="20"/>
          <w:szCs w:val="20"/>
        </w:rPr>
        <w:t>«зелене зростання», яка орієнтована на максимізацію соціальної та екологічної користі фінансових пакетів, які розробляються для виходу країн-членів з фінансової кризи14. Копенгагенська угода щодо запобіганню змінам клімату, запропонована в грудні 2009 року, посилила хвилю «зеленої» економіки, закликаючи до низьковуглецевого зростання та низьковуглецевої економіки.</w:t>
      </w:r>
    </w:p>
    <w:p w14:paraId="08CD65E4" w14:textId="77777777" w:rsidR="00A1205E" w:rsidRPr="00976537" w:rsidRDefault="00A1205E" w:rsidP="00A1205E">
      <w:pPr>
        <w:adjustRightInd w:val="0"/>
        <w:snapToGrid w:val="0"/>
        <w:spacing w:after="0" w:line="240" w:lineRule="auto"/>
        <w:ind w:firstLine="567"/>
        <w:jc w:val="both"/>
        <w:rPr>
          <w:rFonts w:ascii="Times New Roman" w:hAnsi="Times New Roman" w:cs="Times New Roman"/>
          <w:sz w:val="20"/>
          <w:szCs w:val="20"/>
        </w:rPr>
      </w:pPr>
      <w:r w:rsidRPr="00976537">
        <w:rPr>
          <w:rFonts w:ascii="Times New Roman" w:hAnsi="Times New Roman" w:cs="Times New Roman"/>
          <w:sz w:val="20"/>
          <w:szCs w:val="20"/>
        </w:rPr>
        <w:t>Велику роль у цьому процесі відіграє еколого орієнтований бізнес, оскільки може за рахунок більш економних витрат природних ресурсів та переходу на більш екологічні технології і продукцію знизити екологічне навантаження на довкілля.</w:t>
      </w:r>
    </w:p>
    <w:p w14:paraId="4ACA8FC1" w14:textId="77777777" w:rsidR="00A1205E" w:rsidRPr="00976537" w:rsidRDefault="00A1205E" w:rsidP="00A1205E">
      <w:pPr>
        <w:adjustRightInd w:val="0"/>
        <w:snapToGrid w:val="0"/>
        <w:spacing w:after="0" w:line="240" w:lineRule="auto"/>
        <w:ind w:firstLine="567"/>
        <w:jc w:val="both"/>
        <w:rPr>
          <w:rFonts w:ascii="Times New Roman" w:hAnsi="Times New Roman" w:cs="Times New Roman"/>
          <w:sz w:val="20"/>
          <w:szCs w:val="20"/>
        </w:rPr>
      </w:pPr>
      <w:r w:rsidRPr="00976537">
        <w:rPr>
          <w:rFonts w:ascii="Times New Roman" w:hAnsi="Times New Roman" w:cs="Times New Roman"/>
          <w:sz w:val="20"/>
          <w:szCs w:val="20"/>
        </w:rPr>
        <w:t>Угоди держави й підприємців можуть бути взаємовигідними. Заохочення внеску капіталу в екологічний бізнес дає можливість підприємцям шукати нові джерела ресурсів, розробляти ресурсо</w:t>
      </w:r>
      <w:r>
        <w:rPr>
          <w:rFonts w:ascii="Times New Roman" w:hAnsi="Times New Roman" w:cs="Times New Roman"/>
          <w:sz w:val="20"/>
          <w:szCs w:val="20"/>
        </w:rPr>
        <w:t>-</w:t>
      </w:r>
      <w:r w:rsidRPr="00976537">
        <w:rPr>
          <w:rFonts w:ascii="Times New Roman" w:hAnsi="Times New Roman" w:cs="Times New Roman"/>
          <w:sz w:val="20"/>
          <w:szCs w:val="20"/>
        </w:rPr>
        <w:t xml:space="preserve">зберігальні технології, унаслідок чого підприємці можуть одержати </w:t>
      </w:r>
      <w:r w:rsidRPr="00976537">
        <w:rPr>
          <w:rFonts w:ascii="Times New Roman" w:hAnsi="Times New Roman" w:cs="Times New Roman"/>
          <w:b/>
          <w:sz w:val="20"/>
          <w:szCs w:val="20"/>
        </w:rPr>
        <w:t>конкурентну перевагу на ринку</w:t>
      </w:r>
      <w:r w:rsidRPr="00976537">
        <w:rPr>
          <w:rFonts w:ascii="Times New Roman" w:hAnsi="Times New Roman" w:cs="Times New Roman"/>
          <w:sz w:val="20"/>
          <w:szCs w:val="20"/>
        </w:rPr>
        <w:t xml:space="preserve">. Про це свідчить і практика впровадження міжнародних стандартів </w:t>
      </w:r>
      <w:r w:rsidRPr="00976537">
        <w:rPr>
          <w:rFonts w:ascii="Times New Roman" w:hAnsi="Times New Roman" w:cs="Times New Roman"/>
          <w:b/>
          <w:sz w:val="20"/>
          <w:szCs w:val="20"/>
        </w:rPr>
        <w:t>серії ISO-14000</w:t>
      </w:r>
      <w:r w:rsidRPr="00976537">
        <w:rPr>
          <w:rFonts w:ascii="Times New Roman" w:hAnsi="Times New Roman" w:cs="Times New Roman"/>
          <w:sz w:val="20"/>
          <w:szCs w:val="20"/>
        </w:rPr>
        <w:t>.</w:t>
      </w:r>
    </w:p>
    <w:p w14:paraId="57F9B43B" w14:textId="77777777" w:rsidR="00A1205E" w:rsidRPr="00976537" w:rsidRDefault="00A1205E" w:rsidP="00A1205E">
      <w:pPr>
        <w:adjustRightInd w:val="0"/>
        <w:snapToGrid w:val="0"/>
        <w:spacing w:after="0" w:line="240" w:lineRule="auto"/>
        <w:ind w:firstLine="567"/>
        <w:jc w:val="both"/>
        <w:rPr>
          <w:rFonts w:ascii="Times New Roman" w:hAnsi="Times New Roman" w:cs="Times New Roman"/>
          <w:sz w:val="20"/>
          <w:szCs w:val="20"/>
        </w:rPr>
      </w:pPr>
      <w:r w:rsidRPr="00976537">
        <w:rPr>
          <w:rFonts w:ascii="Times New Roman" w:hAnsi="Times New Roman" w:cs="Times New Roman"/>
          <w:sz w:val="20"/>
          <w:szCs w:val="20"/>
        </w:rPr>
        <w:t>Оцінка екологічної небезпеки з погляду інтересів підприємців може допомогти державі й бізнесу в цілому виробити реальний курс, що відповідає як інтересам суспільства, так й інтересам бізнесу. Проблема в тому, як об'єднати державні інтереси з інтересами бізнесу, щоб розв’язати проблему екологічної безпеки як в окремому регіоні, так і в цілому по країні, а далі – і на міжнародному рівні.</w:t>
      </w:r>
    </w:p>
    <w:p w14:paraId="652AD957" w14:textId="18C0C575" w:rsidR="00A1205E" w:rsidRPr="006A3179" w:rsidRDefault="00A1205E" w:rsidP="006A3179">
      <w:pPr>
        <w:adjustRightInd w:val="0"/>
        <w:snapToGrid w:val="0"/>
        <w:spacing w:after="0" w:line="240" w:lineRule="auto"/>
        <w:ind w:firstLine="567"/>
        <w:jc w:val="both"/>
        <w:rPr>
          <w:rFonts w:ascii="Times New Roman" w:hAnsi="Times New Roman" w:cs="Times New Roman"/>
          <w:b/>
          <w:sz w:val="20"/>
          <w:szCs w:val="20"/>
        </w:rPr>
      </w:pPr>
      <w:r w:rsidRPr="00976537">
        <w:rPr>
          <w:rFonts w:ascii="Times New Roman" w:hAnsi="Times New Roman" w:cs="Times New Roman"/>
          <w:sz w:val="20"/>
          <w:szCs w:val="20"/>
        </w:rPr>
        <w:t xml:space="preserve">Однією з нових можливостей для бізнесу є формування й освоєння </w:t>
      </w:r>
      <w:r w:rsidRPr="00976537">
        <w:rPr>
          <w:rFonts w:ascii="Times New Roman" w:hAnsi="Times New Roman" w:cs="Times New Roman"/>
          <w:b/>
          <w:sz w:val="20"/>
          <w:szCs w:val="20"/>
        </w:rPr>
        <w:t>світового ринку екологічних товарів і послуг</w:t>
      </w:r>
      <w:r w:rsidRPr="00976537">
        <w:rPr>
          <w:rFonts w:ascii="Times New Roman" w:hAnsi="Times New Roman" w:cs="Times New Roman"/>
          <w:sz w:val="20"/>
          <w:szCs w:val="20"/>
        </w:rPr>
        <w:t>, які швидко розвиваються. Поки що немає остаточної міжнародної класифікації цього ринку, чіткої статистики його розвитку. Та він існує і набирає сил, особливо в розвинених країнах. За даними компанії Roland Berger Strategy Consultants “GreenTechStudy”, обсяг зеленого ринку у 2007 році оцінювався на рівні € 1,400 млрд з перспективами зростання до € 3,100 у 2020 році15. Ці оцінки відповідають прогнозам Організації ООН з промислового розвитку (UNIDO), згідно з якими на світовому ринку екологічні технології та низьковуглецева промисловість на сьогодні оцінюються приблизно в</w:t>
      </w:r>
      <w:r w:rsidR="006A3179">
        <w:rPr>
          <w:rFonts w:ascii="Times New Roman" w:hAnsi="Times New Roman" w:cs="Times New Roman"/>
          <w:b/>
          <w:sz w:val="20"/>
          <w:szCs w:val="20"/>
        </w:rPr>
        <w:t xml:space="preserve"> </w:t>
      </w:r>
      <w:r w:rsidRPr="00976537">
        <w:rPr>
          <w:rFonts w:ascii="Times New Roman" w:hAnsi="Times New Roman" w:cs="Times New Roman"/>
          <w:sz w:val="20"/>
          <w:szCs w:val="20"/>
        </w:rPr>
        <w:t xml:space="preserve">$ 1,000 млрд, і очікується, що збільшиться до </w:t>
      </w:r>
      <w:r w:rsidRPr="00976537">
        <w:rPr>
          <w:rFonts w:ascii="Times New Roman" w:hAnsi="Times New Roman" w:cs="Times New Roman"/>
          <w:b/>
          <w:sz w:val="20"/>
          <w:szCs w:val="20"/>
        </w:rPr>
        <w:t>$ 3,000 млрд у 2020 році</w:t>
      </w:r>
      <w:r w:rsidRPr="00976537">
        <w:rPr>
          <w:rFonts w:ascii="Times New Roman" w:hAnsi="Times New Roman" w:cs="Times New Roman"/>
          <w:sz w:val="20"/>
          <w:szCs w:val="20"/>
        </w:rPr>
        <w:t>16.</w:t>
      </w:r>
    </w:p>
    <w:p w14:paraId="438979A8" w14:textId="77777777" w:rsidR="00A1205E" w:rsidRPr="00976537" w:rsidRDefault="00A1205E" w:rsidP="00A1205E">
      <w:pPr>
        <w:adjustRightInd w:val="0"/>
        <w:snapToGrid w:val="0"/>
        <w:spacing w:after="0" w:line="240" w:lineRule="auto"/>
        <w:ind w:firstLine="567"/>
        <w:jc w:val="both"/>
        <w:rPr>
          <w:rFonts w:ascii="Times New Roman" w:hAnsi="Times New Roman" w:cs="Times New Roman"/>
          <w:sz w:val="20"/>
          <w:szCs w:val="20"/>
        </w:rPr>
      </w:pPr>
      <w:r w:rsidRPr="00976537">
        <w:rPr>
          <w:rFonts w:ascii="Times New Roman" w:hAnsi="Times New Roman" w:cs="Times New Roman"/>
          <w:sz w:val="20"/>
          <w:szCs w:val="20"/>
        </w:rPr>
        <w:t>Формування поняття «зелений» бізнес, уточнення класифікації видів діяльності з виробництва та постачання екологічних  товарів  і  послуг,  розро блення інструментарію сприяння ефективнішому використанню ресурсів та зменшенню негативному впливу виробництва на довкілля ще не завершене.</w:t>
      </w:r>
    </w:p>
    <w:p w14:paraId="0C0CE7CB" w14:textId="77777777" w:rsidR="00A1205E" w:rsidRPr="009C178D" w:rsidRDefault="00A1205E" w:rsidP="00A1205E">
      <w:pPr>
        <w:adjustRightInd w:val="0"/>
        <w:snapToGrid w:val="0"/>
        <w:spacing w:after="0" w:line="240" w:lineRule="auto"/>
        <w:ind w:firstLine="567"/>
        <w:jc w:val="both"/>
        <w:rPr>
          <w:rFonts w:ascii="Times New Roman" w:hAnsi="Times New Roman" w:cs="Times New Roman"/>
          <w:sz w:val="20"/>
          <w:szCs w:val="20"/>
        </w:rPr>
      </w:pPr>
      <w:r w:rsidRPr="009C178D">
        <w:rPr>
          <w:rFonts w:ascii="Times New Roman" w:hAnsi="Times New Roman" w:cs="Times New Roman"/>
          <w:sz w:val="20"/>
          <w:szCs w:val="20"/>
        </w:rPr>
        <w:t xml:space="preserve">Учені визначають </w:t>
      </w:r>
      <w:r w:rsidRPr="009C178D">
        <w:rPr>
          <w:rFonts w:ascii="Times New Roman" w:hAnsi="Times New Roman" w:cs="Times New Roman"/>
          <w:b/>
          <w:sz w:val="20"/>
          <w:szCs w:val="20"/>
        </w:rPr>
        <w:t xml:space="preserve">«зелений» бізнес </w:t>
      </w:r>
      <w:r w:rsidRPr="009C178D">
        <w:rPr>
          <w:rFonts w:ascii="Times New Roman" w:hAnsi="Times New Roman" w:cs="Times New Roman"/>
          <w:sz w:val="20"/>
          <w:szCs w:val="20"/>
        </w:rPr>
        <w:t xml:space="preserve">як комерційну діяльність, спрямовану на отримання прибутку від продажу екологічних товарів і послуг, </w:t>
      </w:r>
      <w:r w:rsidRPr="009C178D">
        <w:rPr>
          <w:rFonts w:ascii="Times New Roman" w:hAnsi="Times New Roman" w:cs="Times New Roman"/>
          <w:sz w:val="20"/>
          <w:szCs w:val="20"/>
        </w:rPr>
        <w:lastRenderedPageBreak/>
        <w:t>виробництво та надання яких передбачає застосування методів і технологій, що мінімізують інтегральний еко</w:t>
      </w:r>
      <w:r>
        <w:rPr>
          <w:rFonts w:ascii="Times New Roman" w:hAnsi="Times New Roman" w:cs="Times New Roman"/>
          <w:sz w:val="20"/>
          <w:szCs w:val="20"/>
        </w:rPr>
        <w:t>-</w:t>
      </w:r>
      <w:r w:rsidRPr="009C178D">
        <w:rPr>
          <w:rFonts w:ascii="Times New Roman" w:hAnsi="Times New Roman" w:cs="Times New Roman"/>
          <w:sz w:val="20"/>
          <w:szCs w:val="20"/>
        </w:rPr>
        <w:t>деструктивний вплив на довкілля, а їх використання сприяє створенню максимально екологічно сприятливих умов життя для споживачів як у коротко-, так і в довгостроковому періоді.</w:t>
      </w:r>
    </w:p>
    <w:p w14:paraId="66250E57" w14:textId="77777777" w:rsidR="00A1205E" w:rsidRPr="009C178D" w:rsidRDefault="00A1205E" w:rsidP="00A1205E">
      <w:pPr>
        <w:adjustRightInd w:val="0"/>
        <w:snapToGrid w:val="0"/>
        <w:spacing w:after="0" w:line="240" w:lineRule="auto"/>
        <w:ind w:firstLine="567"/>
        <w:jc w:val="both"/>
        <w:rPr>
          <w:rFonts w:ascii="Times New Roman" w:hAnsi="Times New Roman" w:cs="Times New Roman"/>
          <w:sz w:val="20"/>
          <w:szCs w:val="20"/>
        </w:rPr>
      </w:pPr>
      <w:r w:rsidRPr="009C178D">
        <w:rPr>
          <w:rFonts w:ascii="Times New Roman" w:hAnsi="Times New Roman" w:cs="Times New Roman"/>
          <w:sz w:val="20"/>
          <w:szCs w:val="20"/>
        </w:rPr>
        <w:t>Згідно з міжнародною класифікацією до «зеленого» бізнесу входять три групи компаній :</w:t>
      </w:r>
    </w:p>
    <w:p w14:paraId="36A41744" w14:textId="77777777" w:rsidR="00A1205E" w:rsidRPr="000729AD" w:rsidRDefault="00A1205E" w:rsidP="00A1205E">
      <w:pPr>
        <w:numPr>
          <w:ilvl w:val="0"/>
          <w:numId w:val="39"/>
        </w:numPr>
        <w:adjustRightInd w:val="0"/>
        <w:snapToGrid w:val="0"/>
        <w:spacing w:after="0" w:line="240" w:lineRule="auto"/>
        <w:ind w:left="0" w:firstLine="567"/>
        <w:jc w:val="both"/>
        <w:rPr>
          <w:rFonts w:ascii="Times New Roman" w:hAnsi="Times New Roman" w:cs="Times New Roman"/>
          <w:sz w:val="20"/>
          <w:szCs w:val="20"/>
        </w:rPr>
      </w:pPr>
      <w:r w:rsidRPr="000729AD">
        <w:rPr>
          <w:rFonts w:ascii="Times New Roman" w:hAnsi="Times New Roman" w:cs="Times New Roman"/>
          <w:sz w:val="20"/>
          <w:szCs w:val="20"/>
        </w:rPr>
        <w:t>компанії, чиєю діяльністю є виробництво екологічних товарів та послуг</w:t>
      </w:r>
    </w:p>
    <w:p w14:paraId="501D689D" w14:textId="77777777" w:rsidR="00A1205E" w:rsidRPr="000729AD" w:rsidRDefault="00A1205E" w:rsidP="00A1205E">
      <w:pPr>
        <w:numPr>
          <w:ilvl w:val="0"/>
          <w:numId w:val="39"/>
        </w:numPr>
        <w:adjustRightInd w:val="0"/>
        <w:snapToGrid w:val="0"/>
        <w:spacing w:after="0" w:line="240" w:lineRule="auto"/>
        <w:ind w:left="0" w:firstLine="567"/>
        <w:jc w:val="both"/>
        <w:rPr>
          <w:rFonts w:ascii="Times New Roman" w:hAnsi="Times New Roman" w:cs="Times New Roman"/>
          <w:sz w:val="20"/>
          <w:szCs w:val="20"/>
        </w:rPr>
      </w:pPr>
      <w:r w:rsidRPr="000729AD">
        <w:rPr>
          <w:rFonts w:ascii="Times New Roman" w:hAnsi="Times New Roman" w:cs="Times New Roman"/>
          <w:sz w:val="20"/>
          <w:szCs w:val="20"/>
        </w:rPr>
        <w:t>фірми, які пішли на активні та самостійні дії, щоб змінити свою продукцію та/або процеси, беручи до уваги сталий розвиток (</w:t>
      </w:r>
      <w:r w:rsidRPr="000729AD">
        <w:rPr>
          <w:rFonts w:ascii="Times New Roman" w:hAnsi="Times New Roman" w:cs="Times New Roman"/>
          <w:b/>
          <w:sz w:val="20"/>
          <w:szCs w:val="20"/>
        </w:rPr>
        <w:t>«зелені» компанії/ підприємства</w:t>
      </w:r>
      <w:r w:rsidRPr="000729AD">
        <w:rPr>
          <w:rFonts w:ascii="Times New Roman" w:hAnsi="Times New Roman" w:cs="Times New Roman"/>
          <w:sz w:val="20"/>
          <w:szCs w:val="20"/>
        </w:rPr>
        <w:t>);</w:t>
      </w:r>
    </w:p>
    <w:p w14:paraId="134331DE" w14:textId="77777777" w:rsidR="00A1205E" w:rsidRPr="000729AD" w:rsidRDefault="00A1205E" w:rsidP="00A1205E">
      <w:pPr>
        <w:numPr>
          <w:ilvl w:val="0"/>
          <w:numId w:val="39"/>
        </w:numPr>
        <w:adjustRightInd w:val="0"/>
        <w:snapToGrid w:val="0"/>
        <w:spacing w:after="0" w:line="240" w:lineRule="auto"/>
        <w:ind w:left="0" w:firstLine="567"/>
        <w:jc w:val="both"/>
        <w:rPr>
          <w:rFonts w:ascii="Times New Roman" w:hAnsi="Times New Roman" w:cs="Times New Roman"/>
          <w:sz w:val="20"/>
          <w:szCs w:val="20"/>
        </w:rPr>
      </w:pPr>
      <w:r w:rsidRPr="000729AD">
        <w:rPr>
          <w:rFonts w:ascii="Times New Roman" w:hAnsi="Times New Roman" w:cs="Times New Roman"/>
          <w:sz w:val="20"/>
          <w:szCs w:val="20"/>
        </w:rPr>
        <w:t xml:space="preserve">усі інші фірми, які вживають ряд заходів щодо підвищення ефективності процесу або змінюють свій </w:t>
      </w:r>
      <w:r w:rsidRPr="000729AD">
        <w:rPr>
          <w:rFonts w:ascii="Times New Roman" w:hAnsi="Times New Roman" w:cs="Times New Roman"/>
          <w:b/>
          <w:sz w:val="20"/>
          <w:szCs w:val="20"/>
        </w:rPr>
        <w:t>імідж.</w:t>
      </w:r>
    </w:p>
    <w:p w14:paraId="13DCDB88" w14:textId="41E54002" w:rsidR="00A1205E" w:rsidRPr="000729AD" w:rsidRDefault="00A1205E" w:rsidP="00A1205E">
      <w:pPr>
        <w:adjustRightInd w:val="0"/>
        <w:snapToGrid w:val="0"/>
        <w:spacing w:after="0" w:line="240" w:lineRule="auto"/>
        <w:ind w:firstLine="567"/>
        <w:jc w:val="both"/>
        <w:rPr>
          <w:rFonts w:ascii="Times New Roman" w:hAnsi="Times New Roman" w:cs="Times New Roman"/>
          <w:sz w:val="20"/>
          <w:szCs w:val="20"/>
        </w:rPr>
      </w:pPr>
      <w:r w:rsidRPr="000729AD">
        <w:rPr>
          <w:rFonts w:ascii="Times New Roman" w:hAnsi="Times New Roman" w:cs="Times New Roman"/>
          <w:sz w:val="20"/>
          <w:szCs w:val="20"/>
        </w:rPr>
        <w:t xml:space="preserve">Ця класифікація пов’язана з двостороннім порядком денним ЮНІДО щодо </w:t>
      </w:r>
      <w:r w:rsidR="006A3179">
        <w:rPr>
          <w:rFonts w:ascii="Times New Roman" w:hAnsi="Times New Roman" w:cs="Times New Roman"/>
          <w:sz w:val="20"/>
          <w:szCs w:val="20"/>
        </w:rPr>
        <w:t>ве</w:t>
      </w:r>
      <w:r w:rsidR="00D21417">
        <w:rPr>
          <w:rFonts w:ascii="Times New Roman" w:hAnsi="Times New Roman" w:cs="Times New Roman"/>
          <w:sz w:val="20"/>
          <w:szCs w:val="20"/>
        </w:rPr>
        <w:t>де</w:t>
      </w:r>
      <w:r w:rsidR="006A3179">
        <w:rPr>
          <w:rFonts w:ascii="Times New Roman" w:hAnsi="Times New Roman" w:cs="Times New Roman"/>
          <w:sz w:val="20"/>
          <w:szCs w:val="20"/>
        </w:rPr>
        <w:t xml:space="preserve">ння </w:t>
      </w:r>
      <w:r w:rsidRPr="000729AD">
        <w:rPr>
          <w:rFonts w:ascii="Times New Roman" w:hAnsi="Times New Roman" w:cs="Times New Roman"/>
          <w:sz w:val="20"/>
          <w:szCs w:val="20"/>
        </w:rPr>
        <w:t>зеленого бізнесу:</w:t>
      </w:r>
    </w:p>
    <w:p w14:paraId="55E46A19" w14:textId="77777777" w:rsidR="00A6446B" w:rsidRDefault="00A1205E" w:rsidP="00A6446B">
      <w:pPr>
        <w:numPr>
          <w:ilvl w:val="0"/>
          <w:numId w:val="39"/>
        </w:numPr>
        <w:adjustRightInd w:val="0"/>
        <w:snapToGrid w:val="0"/>
        <w:spacing w:after="0" w:line="240" w:lineRule="auto"/>
        <w:ind w:left="0" w:firstLine="567"/>
        <w:jc w:val="both"/>
        <w:rPr>
          <w:rFonts w:ascii="Times New Roman" w:hAnsi="Times New Roman" w:cs="Times New Roman"/>
          <w:sz w:val="20"/>
          <w:szCs w:val="20"/>
        </w:rPr>
      </w:pPr>
      <w:r w:rsidRPr="000729AD">
        <w:rPr>
          <w:rFonts w:ascii="Times New Roman" w:hAnsi="Times New Roman" w:cs="Times New Roman"/>
          <w:sz w:val="20"/>
          <w:szCs w:val="20"/>
        </w:rPr>
        <w:t xml:space="preserve">Зелений бізнес стосується допомоги наявним та новим галузям промисловості щодо зменшення споживання ними енергії, води й матеріалів, скороченнях викидів у воду, повітря та землю. Це </w:t>
      </w:r>
      <w:r w:rsidRPr="000729AD">
        <w:rPr>
          <w:rFonts w:ascii="Times New Roman" w:hAnsi="Times New Roman" w:cs="Times New Roman"/>
          <w:b/>
          <w:sz w:val="20"/>
          <w:szCs w:val="20"/>
        </w:rPr>
        <w:t>порядок денний озеленення галузей</w:t>
      </w:r>
      <w:r w:rsidRPr="000729AD">
        <w:rPr>
          <w:rFonts w:ascii="Times New Roman" w:hAnsi="Times New Roman" w:cs="Times New Roman"/>
          <w:sz w:val="20"/>
          <w:szCs w:val="20"/>
        </w:rPr>
        <w:t>, який повинен забезпе</w:t>
      </w:r>
      <w:r w:rsidRPr="00B94718">
        <w:rPr>
          <w:rFonts w:ascii="Times New Roman" w:hAnsi="Times New Roman" w:cs="Times New Roman"/>
          <w:sz w:val="20"/>
          <w:szCs w:val="20"/>
        </w:rPr>
        <w:t>чити, щоб у всіх галузях промисловості вироблялося більше, використовуючи менше ресурсів й утворюючи менше відходів, з року в рік як безперервний процес покращення з плином часу.</w:t>
      </w:r>
    </w:p>
    <w:p w14:paraId="6AD1A04E" w14:textId="31103595" w:rsidR="00A1205E" w:rsidRPr="00A6446B" w:rsidRDefault="00A1205E" w:rsidP="00A6446B">
      <w:pPr>
        <w:numPr>
          <w:ilvl w:val="0"/>
          <w:numId w:val="39"/>
        </w:numPr>
        <w:adjustRightInd w:val="0"/>
        <w:snapToGrid w:val="0"/>
        <w:spacing w:after="0" w:line="240" w:lineRule="auto"/>
        <w:ind w:left="0" w:firstLine="567"/>
        <w:jc w:val="both"/>
        <w:rPr>
          <w:rFonts w:ascii="Times New Roman" w:hAnsi="Times New Roman" w:cs="Times New Roman"/>
          <w:sz w:val="20"/>
          <w:szCs w:val="20"/>
        </w:rPr>
      </w:pPr>
      <w:r w:rsidRPr="00A6446B">
        <w:rPr>
          <w:rFonts w:ascii="Times New Roman" w:hAnsi="Times New Roman" w:cs="Times New Roman"/>
          <w:sz w:val="20"/>
          <w:szCs w:val="20"/>
        </w:rPr>
        <w:t>Зелений бізнес включає впровадження динамічного та інноваційного сектору екологічних товарів та послуг. Він охоплює постачальників технології переробки відходів та його управлінням, виробників екологічно дружніх технологій, тих, хто впроваджують енергоефективність та технології на відновлювальній енергетиці, постачальників послуг екологічного моніторингу.</w:t>
      </w:r>
    </w:p>
    <w:p w14:paraId="06FFC1DB" w14:textId="77777777" w:rsidR="00A1205E" w:rsidRPr="000729AD" w:rsidRDefault="00A1205E" w:rsidP="00A1205E">
      <w:pPr>
        <w:adjustRightInd w:val="0"/>
        <w:snapToGrid w:val="0"/>
        <w:spacing w:after="0" w:line="240" w:lineRule="auto"/>
        <w:ind w:firstLine="567"/>
        <w:jc w:val="both"/>
        <w:rPr>
          <w:rFonts w:ascii="Times New Roman" w:hAnsi="Times New Roman" w:cs="Times New Roman"/>
          <w:sz w:val="20"/>
          <w:szCs w:val="20"/>
        </w:rPr>
      </w:pPr>
      <w:r w:rsidRPr="000729AD">
        <w:rPr>
          <w:rFonts w:ascii="Times New Roman" w:hAnsi="Times New Roman" w:cs="Times New Roman"/>
          <w:sz w:val="20"/>
          <w:szCs w:val="20"/>
        </w:rPr>
        <w:t xml:space="preserve">Таким чином, </w:t>
      </w:r>
      <w:r w:rsidRPr="000729AD">
        <w:rPr>
          <w:rFonts w:ascii="Times New Roman" w:hAnsi="Times New Roman" w:cs="Times New Roman"/>
          <w:b/>
          <w:sz w:val="20"/>
          <w:szCs w:val="20"/>
        </w:rPr>
        <w:t xml:space="preserve">перший компонент зеленого бізнесу – зелені підприємства/компанії </w:t>
      </w:r>
      <w:r w:rsidRPr="000729AD">
        <w:rPr>
          <w:rFonts w:ascii="Times New Roman" w:hAnsi="Times New Roman" w:cs="Times New Roman"/>
          <w:sz w:val="20"/>
          <w:szCs w:val="20"/>
        </w:rPr>
        <w:t xml:space="preserve">– ті, які вирішили вести свій бізнес шляхом покращення їх екологічних показників, зниження матеріалоємності, а отже, матеріальних витрат, а також зменшуючи свою залежність від енергетичних ресурсів. По суті, вони – споживачі продукції зеленого ринку. Зелені компанії розвивають </w:t>
      </w:r>
      <w:r w:rsidRPr="000729AD">
        <w:rPr>
          <w:rFonts w:ascii="Times New Roman" w:hAnsi="Times New Roman" w:cs="Times New Roman"/>
          <w:b/>
          <w:sz w:val="20"/>
          <w:szCs w:val="20"/>
        </w:rPr>
        <w:t>зелену корпоративну політику</w:t>
      </w:r>
      <w:r w:rsidRPr="000729AD">
        <w:rPr>
          <w:rFonts w:ascii="Times New Roman" w:hAnsi="Times New Roman" w:cs="Times New Roman"/>
          <w:sz w:val="20"/>
          <w:szCs w:val="20"/>
        </w:rPr>
        <w:t xml:space="preserve">, запроваджують екологічне управління, що ставить завдання, вищі за вимоги законодавства, визначають цільові показники ефективності використання енергії та ресурсів, випускають екологічну та дружню до клімату продукцію. Основними факторами їх мотивацій для такої практики стають економія коштів та зменшення зовнішньої залежності, посилення конкурентоспроможності на міжнародних ринках, підвищення іміджу компаній та практики соціальної відповідальності </w:t>
      </w:r>
      <w:r w:rsidRPr="000729AD">
        <w:rPr>
          <w:rFonts w:ascii="Times New Roman" w:hAnsi="Times New Roman" w:cs="Times New Roman"/>
          <w:b/>
          <w:sz w:val="20"/>
          <w:szCs w:val="20"/>
        </w:rPr>
        <w:t>бізнесу (СВБ)</w:t>
      </w:r>
      <w:r w:rsidRPr="000729AD">
        <w:rPr>
          <w:rFonts w:ascii="Times New Roman" w:hAnsi="Times New Roman" w:cs="Times New Roman"/>
          <w:sz w:val="20"/>
          <w:szCs w:val="20"/>
        </w:rPr>
        <w:t>.</w:t>
      </w:r>
    </w:p>
    <w:p w14:paraId="1CBCA93B" w14:textId="77777777" w:rsidR="00A1205E" w:rsidRPr="000729AD" w:rsidRDefault="00A1205E" w:rsidP="00A1205E">
      <w:pPr>
        <w:adjustRightInd w:val="0"/>
        <w:snapToGrid w:val="0"/>
        <w:spacing w:after="0" w:line="240" w:lineRule="auto"/>
        <w:ind w:firstLine="567"/>
        <w:jc w:val="both"/>
        <w:rPr>
          <w:rFonts w:ascii="Times New Roman" w:hAnsi="Times New Roman" w:cs="Times New Roman"/>
          <w:sz w:val="20"/>
          <w:szCs w:val="20"/>
        </w:rPr>
      </w:pPr>
      <w:r w:rsidRPr="000729AD">
        <w:rPr>
          <w:rFonts w:ascii="Times New Roman" w:hAnsi="Times New Roman" w:cs="Times New Roman"/>
          <w:b/>
          <w:sz w:val="20"/>
          <w:szCs w:val="20"/>
        </w:rPr>
        <w:t xml:space="preserve">Сектор екологічних товарів та послуг (СетП) </w:t>
      </w:r>
      <w:r w:rsidRPr="000729AD">
        <w:rPr>
          <w:rFonts w:ascii="Times New Roman" w:hAnsi="Times New Roman" w:cs="Times New Roman"/>
          <w:sz w:val="20"/>
          <w:szCs w:val="20"/>
        </w:rPr>
        <w:t xml:space="preserve">формує зелені ринки, що розвинулися під впливом підвищення свідомості споживачів щодо глобальних викликів та розвитку суворішого екологічного регулювання та </w:t>
      </w:r>
      <w:r w:rsidRPr="000729AD">
        <w:rPr>
          <w:rFonts w:ascii="Times New Roman" w:hAnsi="Times New Roman" w:cs="Times New Roman"/>
          <w:sz w:val="20"/>
          <w:szCs w:val="20"/>
        </w:rPr>
        <w:lastRenderedPageBreak/>
        <w:t>вимог зелених закупівель. Будучи порівняно новою тенденцією, зелені ринки розвиваються найбільш динамічно, і нову нішу займають компанії, які пропонують більш ефективні та екологічно дружні товари та послуги. СЕТП охоплює діяльність, починаючи від боротьби із забрудненням до розвитку чистих технологій, екологічного консалтингу та просуванням відновлювальної енергетики. До визначення та класифікацій СЕТП доклали зусилля ОЕСР та Євростат.</w:t>
      </w:r>
    </w:p>
    <w:p w14:paraId="0CB4F888" w14:textId="77777777" w:rsidR="00A1205E" w:rsidRPr="000729AD" w:rsidRDefault="00A1205E" w:rsidP="00A1205E">
      <w:pPr>
        <w:adjustRightInd w:val="0"/>
        <w:snapToGrid w:val="0"/>
        <w:spacing w:after="0" w:line="240" w:lineRule="auto"/>
        <w:ind w:firstLine="567"/>
        <w:jc w:val="both"/>
        <w:rPr>
          <w:rFonts w:ascii="Times New Roman" w:hAnsi="Times New Roman" w:cs="Times New Roman"/>
          <w:sz w:val="20"/>
          <w:szCs w:val="20"/>
        </w:rPr>
      </w:pPr>
      <w:r w:rsidRPr="000729AD">
        <w:rPr>
          <w:rFonts w:ascii="Times New Roman" w:hAnsi="Times New Roman" w:cs="Times New Roman"/>
          <w:sz w:val="20"/>
          <w:szCs w:val="20"/>
        </w:rPr>
        <w:t>Сьогодні, за визначенням OECD/ EUROSTAT18, СЕТП включає в себе широке коло компаній, від малих фірм, що спеціалізуються в одному сегменті ринку, до великих багатопрофільних підприємств. Він розподілений на дві основні категорії: боротьба із забрудненням та раціональне використання ресурсів, кожен з яких складається з певних секторів.</w:t>
      </w:r>
    </w:p>
    <w:p w14:paraId="15AF2072" w14:textId="77777777" w:rsidR="00A1205E" w:rsidRPr="000729AD" w:rsidRDefault="00A1205E" w:rsidP="00A1205E">
      <w:pPr>
        <w:adjustRightInd w:val="0"/>
        <w:snapToGrid w:val="0"/>
        <w:spacing w:after="0" w:line="240" w:lineRule="auto"/>
        <w:ind w:firstLine="567"/>
        <w:jc w:val="both"/>
        <w:rPr>
          <w:rFonts w:ascii="Times New Roman" w:hAnsi="Times New Roman" w:cs="Times New Roman"/>
          <w:sz w:val="20"/>
          <w:szCs w:val="20"/>
        </w:rPr>
      </w:pPr>
      <w:r w:rsidRPr="000729AD">
        <w:rPr>
          <w:rFonts w:ascii="Times New Roman" w:hAnsi="Times New Roman" w:cs="Times New Roman"/>
          <w:sz w:val="20"/>
          <w:szCs w:val="20"/>
        </w:rPr>
        <w:t>Водночас методологія OECD/ EUROSTAT визначає технології, які варто виключити із сектору зеленого бізнесу:</w:t>
      </w:r>
    </w:p>
    <w:p w14:paraId="7A7C813D" w14:textId="77777777" w:rsidR="00A1205E" w:rsidRPr="000729AD" w:rsidRDefault="00A1205E" w:rsidP="00A1205E">
      <w:pPr>
        <w:numPr>
          <w:ilvl w:val="0"/>
          <w:numId w:val="39"/>
        </w:numPr>
        <w:adjustRightInd w:val="0"/>
        <w:snapToGrid w:val="0"/>
        <w:spacing w:after="0" w:line="240" w:lineRule="auto"/>
        <w:ind w:left="0" w:firstLine="567"/>
        <w:jc w:val="both"/>
        <w:rPr>
          <w:rFonts w:ascii="Times New Roman" w:hAnsi="Times New Roman" w:cs="Times New Roman"/>
          <w:sz w:val="20"/>
          <w:szCs w:val="20"/>
        </w:rPr>
      </w:pPr>
      <w:r w:rsidRPr="000729AD">
        <w:rPr>
          <w:rFonts w:ascii="Times New Roman" w:hAnsi="Times New Roman" w:cs="Times New Roman"/>
          <w:sz w:val="20"/>
          <w:szCs w:val="20"/>
        </w:rPr>
        <w:t>усі технології, товари та послуги, головна мета яких (згідно з технічною природою або за намірами виробника) не є екологічною, не включаються до СЕТП, навіть якщо технологія чи продукт має сприятливий вплив довкілля;</w:t>
      </w:r>
    </w:p>
    <w:p w14:paraId="1576FA79" w14:textId="77777777" w:rsidR="00A1205E" w:rsidRPr="000729AD" w:rsidRDefault="00A1205E" w:rsidP="00A1205E">
      <w:pPr>
        <w:numPr>
          <w:ilvl w:val="0"/>
          <w:numId w:val="39"/>
        </w:numPr>
        <w:adjustRightInd w:val="0"/>
        <w:snapToGrid w:val="0"/>
        <w:spacing w:after="0" w:line="240" w:lineRule="auto"/>
        <w:ind w:left="0" w:firstLine="567"/>
        <w:jc w:val="both"/>
        <w:rPr>
          <w:rFonts w:ascii="Times New Roman" w:hAnsi="Times New Roman" w:cs="Times New Roman"/>
          <w:sz w:val="20"/>
          <w:szCs w:val="20"/>
        </w:rPr>
      </w:pPr>
      <w:r w:rsidRPr="000729AD">
        <w:rPr>
          <w:rFonts w:ascii="Times New Roman" w:hAnsi="Times New Roman" w:cs="Times New Roman"/>
          <w:sz w:val="20"/>
          <w:szCs w:val="20"/>
        </w:rPr>
        <w:t>управління стихійними лихами та ризиками;</w:t>
      </w:r>
    </w:p>
    <w:p w14:paraId="1073AA6F" w14:textId="77777777" w:rsidR="00A1205E" w:rsidRPr="000729AD" w:rsidRDefault="00A1205E" w:rsidP="00A1205E">
      <w:pPr>
        <w:numPr>
          <w:ilvl w:val="0"/>
          <w:numId w:val="39"/>
        </w:numPr>
        <w:adjustRightInd w:val="0"/>
        <w:snapToGrid w:val="0"/>
        <w:spacing w:after="0" w:line="240" w:lineRule="auto"/>
        <w:ind w:left="0" w:firstLine="567"/>
        <w:jc w:val="both"/>
        <w:rPr>
          <w:rFonts w:ascii="Times New Roman" w:hAnsi="Times New Roman" w:cs="Times New Roman"/>
          <w:sz w:val="20"/>
          <w:szCs w:val="20"/>
        </w:rPr>
      </w:pPr>
      <w:r w:rsidRPr="000729AD">
        <w:rPr>
          <w:rFonts w:ascii="Times New Roman" w:hAnsi="Times New Roman" w:cs="Times New Roman"/>
          <w:sz w:val="20"/>
          <w:szCs w:val="20"/>
        </w:rPr>
        <w:t>видобуток, мобілізація та експлуатація невідновлювальних ресурсів: це технології, товари та послуги, які використовують ресурсні запаси, а СЕТП включає тільки запобігання або зменшення виснаження ресурсів.</w:t>
      </w:r>
    </w:p>
    <w:p w14:paraId="405E19D3" w14:textId="77777777" w:rsidR="00A1205E" w:rsidRPr="000729AD" w:rsidRDefault="00A1205E" w:rsidP="00A1205E">
      <w:pPr>
        <w:adjustRightInd w:val="0"/>
        <w:snapToGrid w:val="0"/>
        <w:spacing w:after="0" w:line="240" w:lineRule="auto"/>
        <w:ind w:firstLine="567"/>
        <w:jc w:val="both"/>
        <w:rPr>
          <w:rFonts w:ascii="Times New Roman" w:hAnsi="Times New Roman" w:cs="Times New Roman"/>
          <w:sz w:val="20"/>
          <w:szCs w:val="20"/>
        </w:rPr>
      </w:pPr>
      <w:r w:rsidRPr="000729AD">
        <w:rPr>
          <w:rFonts w:ascii="Times New Roman" w:hAnsi="Times New Roman" w:cs="Times New Roman"/>
          <w:sz w:val="20"/>
          <w:szCs w:val="20"/>
        </w:rPr>
        <w:t>Ці само аспекти доцільно розглядати в контексті формування моделі взаємодії та екологічного партнерства на міжнародному рівні.</w:t>
      </w:r>
    </w:p>
    <w:p w14:paraId="751181A6" w14:textId="77777777" w:rsidR="00A1205E" w:rsidRPr="000729AD" w:rsidRDefault="00A1205E" w:rsidP="00A1205E">
      <w:pPr>
        <w:adjustRightInd w:val="0"/>
        <w:snapToGrid w:val="0"/>
        <w:spacing w:after="0" w:line="240" w:lineRule="auto"/>
        <w:ind w:firstLine="567"/>
        <w:jc w:val="both"/>
        <w:rPr>
          <w:rFonts w:ascii="Times New Roman" w:hAnsi="Times New Roman" w:cs="Times New Roman"/>
          <w:sz w:val="20"/>
          <w:szCs w:val="20"/>
        </w:rPr>
      </w:pPr>
      <w:r w:rsidRPr="000729AD">
        <w:rPr>
          <w:rFonts w:ascii="Times New Roman" w:hAnsi="Times New Roman" w:cs="Times New Roman"/>
          <w:sz w:val="20"/>
          <w:szCs w:val="20"/>
        </w:rPr>
        <w:t>Існує достатньо доказів того, що «зелений» бізнес буде значно зростати. HSBS та Deutsche Bank вважають, що через десять років «зелені» інвестиції в сектор енергетики перевищать $500 млрд на рік – більше ніж аерокосмічна та оборонна промисловість, а чистий енергетичний ринок сягне обсягів $2 трлн.</w:t>
      </w:r>
    </w:p>
    <w:p w14:paraId="3BA7C0E1" w14:textId="77777777" w:rsidR="00A1205E" w:rsidRPr="000729AD" w:rsidRDefault="00A1205E" w:rsidP="00A1205E">
      <w:pPr>
        <w:adjustRightInd w:val="0"/>
        <w:snapToGrid w:val="0"/>
        <w:spacing w:after="0" w:line="240" w:lineRule="auto"/>
        <w:ind w:firstLine="567"/>
        <w:jc w:val="both"/>
        <w:rPr>
          <w:rFonts w:ascii="Times New Roman" w:hAnsi="Times New Roman" w:cs="Times New Roman"/>
          <w:sz w:val="20"/>
          <w:szCs w:val="20"/>
        </w:rPr>
      </w:pPr>
      <w:r w:rsidRPr="000729AD">
        <w:rPr>
          <w:rFonts w:ascii="Times New Roman" w:hAnsi="Times New Roman" w:cs="Times New Roman"/>
          <w:b/>
          <w:sz w:val="20"/>
          <w:szCs w:val="20"/>
        </w:rPr>
        <w:t xml:space="preserve">«зелена» індустрія або «зелені» сектори економіки </w:t>
      </w:r>
      <w:r w:rsidRPr="000729AD">
        <w:rPr>
          <w:rFonts w:ascii="Times New Roman" w:hAnsi="Times New Roman" w:cs="Times New Roman"/>
          <w:sz w:val="20"/>
          <w:szCs w:val="20"/>
        </w:rPr>
        <w:t>покликані матеріалізувати нові джерела зростання, пов’язані з ефективним використанням природних ресурсів та еко-ефективних технологій, в екологічну продукцію та послуги, а отже, у додану вартість та прибутки компаній, що займаються цією діяльністю. Сприяння їх розвитку та «позелененню» традиційних «коричневих» технологій і моделей ведення бізнесу становить центральне завдання державних стратегій переходу до більш</w:t>
      </w:r>
      <w:r>
        <w:rPr>
          <w:rFonts w:ascii="Times New Roman" w:hAnsi="Times New Roman" w:cs="Times New Roman"/>
          <w:sz w:val="20"/>
          <w:szCs w:val="20"/>
        </w:rPr>
        <w:t xml:space="preserve"> </w:t>
      </w:r>
      <w:r w:rsidRPr="000729AD">
        <w:rPr>
          <w:rFonts w:ascii="Times New Roman" w:hAnsi="Times New Roman" w:cs="Times New Roman"/>
          <w:sz w:val="20"/>
          <w:szCs w:val="20"/>
        </w:rPr>
        <w:t xml:space="preserve">«зеленої» економіки. </w:t>
      </w:r>
    </w:p>
    <w:p w14:paraId="2D9F5015" w14:textId="77777777" w:rsidR="00A1205E" w:rsidRPr="000729AD" w:rsidRDefault="00A1205E" w:rsidP="00A1205E">
      <w:pPr>
        <w:adjustRightInd w:val="0"/>
        <w:snapToGrid w:val="0"/>
        <w:spacing w:after="0" w:line="240" w:lineRule="auto"/>
        <w:ind w:firstLine="567"/>
        <w:jc w:val="both"/>
        <w:rPr>
          <w:rFonts w:ascii="Times New Roman" w:hAnsi="Times New Roman" w:cs="Times New Roman"/>
          <w:sz w:val="20"/>
          <w:szCs w:val="20"/>
        </w:rPr>
      </w:pPr>
      <w:r w:rsidRPr="000729AD">
        <w:rPr>
          <w:rFonts w:ascii="Times New Roman" w:hAnsi="Times New Roman" w:cs="Times New Roman"/>
          <w:sz w:val="20"/>
          <w:szCs w:val="20"/>
        </w:rPr>
        <w:t xml:space="preserve">За оцінками ЮНІДО, глобальний ринок для «зелених» технологій та видів діяльності на сьогодні оцінюється приблизно у 1 млрд дол. США і має зрости до 3 млрд дол. США до 2020 року. Екологічний та економічний потенціал позеленення індустрії може бути ще більшим: заміна «коричневих» виробничих процесів на більш чисті, енергоефективні та матеріалозберігальні технології, реорганізація виробництва забезпечать конкурентоспроможність усієї індустрії і поступове зниження цін на зелену продукцію. Підвищення </w:t>
      </w:r>
      <w:r w:rsidRPr="000729AD">
        <w:rPr>
          <w:rFonts w:ascii="Times New Roman" w:hAnsi="Times New Roman" w:cs="Times New Roman"/>
          <w:sz w:val="20"/>
          <w:szCs w:val="20"/>
        </w:rPr>
        <w:lastRenderedPageBreak/>
        <w:t>ефективності виробництва, зокрема уловлювання та збереження діоксиду вуглецю, допоможе зменшити його емісію на 37% до 2050 року.</w:t>
      </w:r>
    </w:p>
    <w:p w14:paraId="53CFEF06" w14:textId="77777777" w:rsidR="00A1205E" w:rsidRPr="000729AD" w:rsidRDefault="00A1205E" w:rsidP="00A1205E">
      <w:pPr>
        <w:adjustRightInd w:val="0"/>
        <w:snapToGrid w:val="0"/>
        <w:spacing w:after="0" w:line="240" w:lineRule="auto"/>
        <w:ind w:firstLine="567"/>
        <w:jc w:val="both"/>
        <w:rPr>
          <w:rFonts w:ascii="Times New Roman" w:hAnsi="Times New Roman" w:cs="Times New Roman"/>
          <w:sz w:val="20"/>
          <w:szCs w:val="20"/>
        </w:rPr>
      </w:pPr>
      <w:r w:rsidRPr="000729AD">
        <w:rPr>
          <w:rFonts w:ascii="Times New Roman" w:hAnsi="Times New Roman" w:cs="Times New Roman"/>
          <w:sz w:val="20"/>
          <w:szCs w:val="20"/>
        </w:rPr>
        <w:t xml:space="preserve">ЮНІДО визначає </w:t>
      </w:r>
      <w:r w:rsidRPr="000729AD">
        <w:rPr>
          <w:rFonts w:ascii="Times New Roman" w:hAnsi="Times New Roman" w:cs="Times New Roman"/>
          <w:b/>
          <w:sz w:val="20"/>
          <w:szCs w:val="20"/>
        </w:rPr>
        <w:t xml:space="preserve">розбудову зеленої індустрії </w:t>
      </w:r>
      <w:r w:rsidRPr="000729AD">
        <w:rPr>
          <w:rFonts w:ascii="Times New Roman" w:hAnsi="Times New Roman" w:cs="Times New Roman"/>
          <w:sz w:val="20"/>
          <w:szCs w:val="20"/>
        </w:rPr>
        <w:t>як новий порядок денний для діяльності бізнесу за принципом</w:t>
      </w:r>
    </w:p>
    <w:p w14:paraId="6B119843" w14:textId="77777777" w:rsidR="00A1205E" w:rsidRPr="0062230A" w:rsidRDefault="00A1205E" w:rsidP="00A1205E">
      <w:pPr>
        <w:adjustRightInd w:val="0"/>
        <w:snapToGrid w:val="0"/>
        <w:spacing w:after="0" w:line="240" w:lineRule="auto"/>
        <w:ind w:firstLine="567"/>
        <w:jc w:val="both"/>
        <w:rPr>
          <w:rFonts w:ascii="Times New Roman" w:hAnsi="Times New Roman" w:cs="Times New Roman"/>
          <w:sz w:val="20"/>
          <w:szCs w:val="20"/>
        </w:rPr>
      </w:pPr>
      <w:r w:rsidRPr="0062230A">
        <w:rPr>
          <w:rFonts w:ascii="Times New Roman" w:hAnsi="Times New Roman" w:cs="Times New Roman"/>
          <w:sz w:val="20"/>
          <w:szCs w:val="20"/>
        </w:rPr>
        <w:t>«виробляти більше, використовуючи менше ресурсів і створюючи менший негативний вплив» (produce more value while using less) через безперервне поліпшення процесу.</w:t>
      </w:r>
    </w:p>
    <w:p w14:paraId="1D0B2F70" w14:textId="77777777" w:rsidR="00A1205E" w:rsidRPr="0062230A" w:rsidRDefault="00A1205E" w:rsidP="00A1205E">
      <w:pPr>
        <w:adjustRightInd w:val="0"/>
        <w:snapToGrid w:val="0"/>
        <w:spacing w:after="0" w:line="240" w:lineRule="auto"/>
        <w:ind w:firstLine="567"/>
        <w:jc w:val="both"/>
        <w:rPr>
          <w:rFonts w:ascii="Times New Roman" w:hAnsi="Times New Roman" w:cs="Times New Roman"/>
          <w:sz w:val="20"/>
          <w:szCs w:val="20"/>
        </w:rPr>
      </w:pPr>
      <w:r w:rsidRPr="0062230A">
        <w:rPr>
          <w:rFonts w:ascii="Times New Roman" w:hAnsi="Times New Roman" w:cs="Times New Roman"/>
          <w:sz w:val="20"/>
          <w:szCs w:val="20"/>
        </w:rPr>
        <w:t xml:space="preserve">Разом з тим «зелений» бізнес – це, перш за все, комерційна діяльність, спрямована на отримання прибутків. У короткостроковому періоді створення доданої вартості завжди буде мати більший пріоритет порівняно з пріоритетами зменшення впливу на довкілля та оптимізації використання ресурсів за інших рівних умов. Проте бажання зберігати та зміцнювати конкурентні позиції на ринках спонукає компанії до вибору довгострокових стратегій, які враховують перспективи розширення ринків для екологічних товарів та послуг, можливості впровадження та здешевлення новітніх еко-ефективних технологій, зменшення цін на енергоресурси з відновлюваних та альтернативних джерел. У стимулюванні цих процесів важливу роль відіграють національні уряди через упровадження відповідних </w:t>
      </w:r>
      <w:r w:rsidRPr="0062230A">
        <w:rPr>
          <w:rFonts w:ascii="Times New Roman" w:hAnsi="Times New Roman" w:cs="Times New Roman"/>
          <w:b/>
          <w:sz w:val="20"/>
          <w:szCs w:val="20"/>
        </w:rPr>
        <w:t>стандартів та регуляторних актів</w:t>
      </w:r>
      <w:r w:rsidRPr="0062230A">
        <w:rPr>
          <w:rFonts w:ascii="Times New Roman" w:hAnsi="Times New Roman" w:cs="Times New Roman"/>
          <w:sz w:val="20"/>
          <w:szCs w:val="20"/>
        </w:rPr>
        <w:t>, розширення обсягів фінансових ресурсів на дослідження, розвиток і демонстрацію переваг нових технологій, зменшення субсидій на постачання й використання викопного палива – основного джерела забруднень.</w:t>
      </w:r>
    </w:p>
    <w:p w14:paraId="5127A125" w14:textId="1AB66E01" w:rsidR="00A1205E" w:rsidRPr="0062230A" w:rsidRDefault="00A1205E" w:rsidP="00A1205E">
      <w:pPr>
        <w:adjustRightInd w:val="0"/>
        <w:snapToGrid w:val="0"/>
        <w:spacing w:after="0" w:line="240" w:lineRule="auto"/>
        <w:ind w:firstLine="567"/>
        <w:jc w:val="both"/>
        <w:rPr>
          <w:rFonts w:ascii="Times New Roman" w:hAnsi="Times New Roman" w:cs="Times New Roman"/>
          <w:sz w:val="20"/>
          <w:szCs w:val="20"/>
        </w:rPr>
      </w:pPr>
      <w:r w:rsidRPr="0062230A">
        <w:rPr>
          <w:rFonts w:ascii="Times New Roman" w:hAnsi="Times New Roman" w:cs="Times New Roman"/>
          <w:sz w:val="20"/>
          <w:szCs w:val="20"/>
        </w:rPr>
        <w:t xml:space="preserve">Так, </w:t>
      </w:r>
      <w:r w:rsidRPr="0062230A">
        <w:rPr>
          <w:rFonts w:ascii="Times New Roman" w:hAnsi="Times New Roman" w:cs="Times New Roman"/>
          <w:b/>
          <w:sz w:val="20"/>
          <w:szCs w:val="20"/>
        </w:rPr>
        <w:t xml:space="preserve">глобальний рейтинг країн світу Doing Business </w:t>
      </w:r>
      <w:r w:rsidRPr="0062230A">
        <w:rPr>
          <w:rFonts w:ascii="Times New Roman" w:hAnsi="Times New Roman" w:cs="Times New Roman"/>
          <w:sz w:val="20"/>
          <w:szCs w:val="20"/>
        </w:rPr>
        <w:t xml:space="preserve">2013 (за підсумками 2012 року) за показником створення ними сприятливих умов ведення бізнесу наведено у таблиці </w:t>
      </w:r>
      <w:r w:rsidR="00D21417">
        <w:rPr>
          <w:rFonts w:ascii="Times New Roman" w:hAnsi="Times New Roman" w:cs="Times New Roman"/>
          <w:sz w:val="20"/>
          <w:szCs w:val="20"/>
        </w:rPr>
        <w:t>8</w:t>
      </w:r>
      <w:r w:rsidRPr="0062230A">
        <w:rPr>
          <w:rFonts w:ascii="Times New Roman" w:hAnsi="Times New Roman" w:cs="Times New Roman"/>
          <w:sz w:val="20"/>
          <w:szCs w:val="20"/>
        </w:rPr>
        <w:t>.1.</w:t>
      </w:r>
    </w:p>
    <w:p w14:paraId="785DF0E3" w14:textId="77777777" w:rsidR="00A1205E" w:rsidRPr="0062230A" w:rsidRDefault="00A1205E" w:rsidP="00A1205E">
      <w:pPr>
        <w:adjustRightInd w:val="0"/>
        <w:snapToGrid w:val="0"/>
        <w:spacing w:after="0" w:line="240" w:lineRule="auto"/>
        <w:ind w:firstLine="567"/>
        <w:jc w:val="both"/>
        <w:rPr>
          <w:rFonts w:ascii="Times New Roman" w:hAnsi="Times New Roman" w:cs="Times New Roman"/>
          <w:sz w:val="20"/>
          <w:szCs w:val="20"/>
        </w:rPr>
      </w:pPr>
      <w:r w:rsidRPr="0062230A">
        <w:rPr>
          <w:rFonts w:ascii="Times New Roman" w:hAnsi="Times New Roman" w:cs="Times New Roman"/>
          <w:sz w:val="20"/>
          <w:szCs w:val="20"/>
        </w:rPr>
        <w:t>Існує достатньо доказів того, що «зелений» бізнес буде значно зростати. HSBS та Deutsche Bank вважають, що через десять років «зелені» інвестиції в сектор енергетики перевищать $500 млрд. на рік – більше, ніж аерокосмічна та</w:t>
      </w:r>
      <w:r>
        <w:rPr>
          <w:rFonts w:ascii="Times New Roman" w:hAnsi="Times New Roman" w:cs="Times New Roman"/>
          <w:sz w:val="20"/>
          <w:szCs w:val="20"/>
        </w:rPr>
        <w:t xml:space="preserve"> </w:t>
      </w:r>
      <w:r w:rsidRPr="0062230A">
        <w:rPr>
          <w:rFonts w:ascii="Times New Roman" w:hAnsi="Times New Roman" w:cs="Times New Roman"/>
          <w:sz w:val="20"/>
          <w:szCs w:val="20"/>
        </w:rPr>
        <w:t>оборонна промисловість разом взяті, – а чистий енергетичний ринок сягне обсягів $2 трлн19. Ринок ЄС та прийняття цілей 20/20/20 (а саме, зменшення викидів парникових газів щонайменше на 20% у порівнянні з рівнями 1990 р.; було вище збільшення частки енергії, що отримується з відновлювальних джерел, до 20% від загального споживання і збільшення енергоефективності на 20%)20 також створили новий імпульс та перспективні можливості для подальшого зростання.</w:t>
      </w:r>
    </w:p>
    <w:p w14:paraId="46EF3C9C" w14:textId="77777777" w:rsidR="00A1205E" w:rsidRPr="0062230A" w:rsidRDefault="00A1205E" w:rsidP="00A1205E">
      <w:pPr>
        <w:adjustRightInd w:val="0"/>
        <w:snapToGrid w:val="0"/>
        <w:spacing w:after="0" w:line="240" w:lineRule="auto"/>
        <w:ind w:firstLine="567"/>
        <w:jc w:val="both"/>
        <w:rPr>
          <w:rFonts w:ascii="Times New Roman" w:hAnsi="Times New Roman" w:cs="Times New Roman"/>
          <w:sz w:val="20"/>
          <w:szCs w:val="20"/>
        </w:rPr>
      </w:pPr>
      <w:r w:rsidRPr="0062230A">
        <w:rPr>
          <w:rFonts w:ascii="Times New Roman" w:hAnsi="Times New Roman" w:cs="Times New Roman"/>
          <w:b/>
          <w:sz w:val="20"/>
          <w:szCs w:val="20"/>
        </w:rPr>
        <w:t xml:space="preserve">Переваги розвитку «зеленого» бізнесу в Україні. </w:t>
      </w:r>
      <w:r w:rsidRPr="0062230A">
        <w:rPr>
          <w:rFonts w:ascii="Times New Roman" w:hAnsi="Times New Roman" w:cs="Times New Roman"/>
          <w:sz w:val="20"/>
          <w:szCs w:val="20"/>
        </w:rPr>
        <w:t>Розвиток екологічного, або «зеленого», бізнесу є стратегічним завданням для України, бо він має беззаперечні переваги та економічну стабільність. У нашій країні є багато потенційних і доволі необхідних напрямів розвитку, що дають змогу впроваджувати «зелений» бізнес відповідно до глобальних викликів.</w:t>
      </w:r>
    </w:p>
    <w:p w14:paraId="62F50828" w14:textId="77777777" w:rsidR="00A1205E" w:rsidRDefault="00A1205E" w:rsidP="00A1205E">
      <w:pPr>
        <w:adjustRightInd w:val="0"/>
        <w:snapToGrid w:val="0"/>
        <w:spacing w:after="0" w:line="240" w:lineRule="auto"/>
        <w:ind w:right="400"/>
        <w:rPr>
          <w:rFonts w:ascii="Times New Roman" w:hAnsi="Times New Roman" w:cs="Times New Roman"/>
          <w:b/>
          <w:bCs/>
          <w:sz w:val="20"/>
          <w:szCs w:val="20"/>
        </w:rPr>
      </w:pPr>
    </w:p>
    <w:p w14:paraId="20791297" w14:textId="77777777" w:rsidR="00D21417" w:rsidRDefault="00D21417" w:rsidP="00A1205E">
      <w:pPr>
        <w:adjustRightInd w:val="0"/>
        <w:snapToGrid w:val="0"/>
        <w:spacing w:after="0" w:line="240" w:lineRule="auto"/>
        <w:ind w:firstLine="567"/>
        <w:jc w:val="right"/>
        <w:rPr>
          <w:rFonts w:ascii="Times New Roman" w:hAnsi="Times New Roman" w:cs="Times New Roman"/>
          <w:b/>
          <w:bCs/>
          <w:sz w:val="20"/>
          <w:szCs w:val="20"/>
        </w:rPr>
      </w:pPr>
    </w:p>
    <w:p w14:paraId="07DF509A" w14:textId="77777777" w:rsidR="00D21417" w:rsidRDefault="00D21417" w:rsidP="00A1205E">
      <w:pPr>
        <w:adjustRightInd w:val="0"/>
        <w:snapToGrid w:val="0"/>
        <w:spacing w:after="0" w:line="240" w:lineRule="auto"/>
        <w:ind w:firstLine="567"/>
        <w:jc w:val="right"/>
        <w:rPr>
          <w:rFonts w:ascii="Times New Roman" w:hAnsi="Times New Roman" w:cs="Times New Roman"/>
          <w:b/>
          <w:bCs/>
          <w:sz w:val="20"/>
          <w:szCs w:val="20"/>
        </w:rPr>
      </w:pPr>
    </w:p>
    <w:p w14:paraId="0AD1EE4F" w14:textId="77777777" w:rsidR="00662914" w:rsidRDefault="00662914" w:rsidP="00A1205E">
      <w:pPr>
        <w:adjustRightInd w:val="0"/>
        <w:snapToGrid w:val="0"/>
        <w:spacing w:after="0" w:line="240" w:lineRule="auto"/>
        <w:ind w:firstLine="567"/>
        <w:jc w:val="right"/>
        <w:rPr>
          <w:rFonts w:ascii="Times New Roman" w:hAnsi="Times New Roman" w:cs="Times New Roman"/>
          <w:sz w:val="20"/>
          <w:szCs w:val="20"/>
        </w:rPr>
      </w:pPr>
    </w:p>
    <w:p w14:paraId="6D46DE6A" w14:textId="0B244E06" w:rsidR="00A1205E" w:rsidRPr="00D21417" w:rsidRDefault="00A1205E" w:rsidP="00A1205E">
      <w:pPr>
        <w:adjustRightInd w:val="0"/>
        <w:snapToGrid w:val="0"/>
        <w:spacing w:after="0" w:line="240" w:lineRule="auto"/>
        <w:ind w:firstLine="567"/>
        <w:jc w:val="right"/>
        <w:rPr>
          <w:rFonts w:ascii="Times New Roman" w:hAnsi="Times New Roman" w:cs="Times New Roman"/>
          <w:sz w:val="20"/>
          <w:szCs w:val="20"/>
        </w:rPr>
      </w:pPr>
      <w:r w:rsidRPr="00D21417">
        <w:rPr>
          <w:rFonts w:ascii="Times New Roman" w:hAnsi="Times New Roman" w:cs="Times New Roman"/>
          <w:sz w:val="20"/>
          <w:szCs w:val="20"/>
        </w:rPr>
        <w:lastRenderedPageBreak/>
        <w:t xml:space="preserve">Таблиця </w:t>
      </w:r>
      <w:r w:rsidR="00D21417" w:rsidRPr="00D21417">
        <w:rPr>
          <w:rFonts w:ascii="Times New Roman" w:hAnsi="Times New Roman" w:cs="Times New Roman"/>
          <w:sz w:val="20"/>
          <w:szCs w:val="20"/>
        </w:rPr>
        <w:t>8</w:t>
      </w:r>
      <w:r w:rsidRPr="00D21417">
        <w:rPr>
          <w:rFonts w:ascii="Times New Roman" w:hAnsi="Times New Roman" w:cs="Times New Roman"/>
          <w:sz w:val="20"/>
          <w:szCs w:val="20"/>
        </w:rPr>
        <w:t>.1</w:t>
      </w:r>
    </w:p>
    <w:p w14:paraId="52CF7A53" w14:textId="77777777" w:rsidR="00A1205E" w:rsidRPr="00D21417" w:rsidRDefault="00A1205E" w:rsidP="00A1205E">
      <w:pPr>
        <w:adjustRightInd w:val="0"/>
        <w:snapToGrid w:val="0"/>
        <w:spacing w:after="0" w:line="240" w:lineRule="auto"/>
        <w:ind w:firstLine="567"/>
        <w:jc w:val="both"/>
        <w:rPr>
          <w:rFonts w:ascii="Times New Roman" w:hAnsi="Times New Roman" w:cs="Times New Roman"/>
          <w:sz w:val="16"/>
          <w:szCs w:val="16"/>
        </w:rPr>
      </w:pPr>
      <w:r w:rsidRPr="00D21417">
        <w:rPr>
          <w:rFonts w:ascii="Times New Roman" w:hAnsi="Times New Roman" w:cs="Times New Roman"/>
          <w:noProof/>
          <w:sz w:val="20"/>
          <w:szCs w:val="20"/>
        </w:rPr>
        <mc:AlternateContent>
          <mc:Choice Requires="wps">
            <w:drawing>
              <wp:anchor distT="0" distB="0" distL="0" distR="0" simplePos="0" relativeHeight="251702272" behindDoc="1" locked="0" layoutInCell="1" allowOverlap="1" wp14:anchorId="3916E3B8" wp14:editId="3E2AE87B">
                <wp:simplePos x="0" y="0"/>
                <wp:positionH relativeFrom="page">
                  <wp:posOffset>2351711</wp:posOffset>
                </wp:positionH>
                <wp:positionV relativeFrom="paragraph">
                  <wp:posOffset>522854</wp:posOffset>
                </wp:positionV>
                <wp:extent cx="163195" cy="414655"/>
                <wp:effectExtent l="0" t="0" r="0" b="0"/>
                <wp:wrapNone/>
                <wp:docPr id="340" name="Textbox 3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3195" cy="414655"/>
                        </a:xfrm>
                        <a:prstGeom prst="rect">
                          <a:avLst/>
                        </a:prstGeom>
                      </wps:spPr>
                      <wps:txbx>
                        <w:txbxContent>
                          <w:p w14:paraId="72D77E2C" w14:textId="77777777" w:rsidR="00A1205E" w:rsidRDefault="00A1205E" w:rsidP="00A1205E">
                            <w:pPr>
                              <w:spacing w:before="26"/>
                              <w:ind w:left="20"/>
                              <w:rPr>
                                <w:sz w:val="18"/>
                              </w:rPr>
                            </w:pPr>
                            <w:r>
                              <w:rPr>
                                <w:color w:val="FFFFFF"/>
                                <w:spacing w:val="-2"/>
                                <w:w w:val="105"/>
                                <w:sz w:val="18"/>
                              </w:rPr>
                              <w:t>бізнесу</w:t>
                            </w:r>
                          </w:p>
                        </w:txbxContent>
                      </wps:txbx>
                      <wps:bodyPr vert="vert270" wrap="square" lIns="0" tIns="0" rIns="0" bIns="0" rtlCol="0">
                        <a:noAutofit/>
                      </wps:bodyPr>
                    </wps:wsp>
                  </a:graphicData>
                </a:graphic>
              </wp:anchor>
            </w:drawing>
          </mc:Choice>
          <mc:Fallback>
            <w:pict>
              <v:shape w14:anchorId="3916E3B8" id="Textbox 340" o:spid="_x0000_s1078" type="#_x0000_t202" style="position:absolute;left:0;text-align:left;margin-left:185.15pt;margin-top:41.15pt;width:12.85pt;height:32.65pt;z-index:-25161420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2cIdtgEAAFkDAAAOAAAAZHJzL2Uyb0RvYy54bWysU8GO0zAQvSPxD5bvNE23LRA1XQErENKK&#10;RdrlAxzHbixij/G4Tfr3jJ2mu4Ib4jIZ289v3htPdrej7dlJBTTgal4ulpwpJ6E17lDzH0+f37zj&#10;DKNwrejBqZqfFfLb/etXu8FXagUd9K0KjEgcVoOveRejr4oCZaeswAV45ehQQ7Ai0jIcijaIgdht&#10;X6yWy20xQGh9AKkQafduOuT7zK+1kvFBa1SR9TUnbTHHkGOTYrHfieoQhO+MvMgQ/6DCCuOo6JXq&#10;TkTBjsH8RWWNDICg40KCLUBrI1X2QG7K5R9uHjvhVfZCzUF/bRP+P1r57fQ9MNPW/GZN/XHC0iM9&#10;qTE2MLK0RQ0aPFaEe/SEjONHGOmhs1n09yB/IkGKF5jpAhI6NWTUwaYvWWV0kWqcr32nMkwmtu1N&#10;+X7DmaSjdbnebjapbPF82QeMXxRYlpKaB3rWLECc7jFO0Bly0TKVT6ri2IzZ4KqczTTQnskLjS2R&#10;pbh6S7oGmoKa46+jCIqz/qujNqeRmZMwJ82chNh/gjxYyaGDD8cI2mRBqfJU5iKI3i9busxaGpCX&#10;64x6/iP2vwEAAP//AwBQSwMEFAAGAAgAAAAhAF3o7oPeAAAACgEAAA8AAABkcnMvZG93bnJldi54&#10;bWxMj8tOwzAQRfdI/IM1SOyoQw1uCXEqFKliV4nSD3DjIY7qR4jdJv17hhWsRqM5unNutZm9Yxcc&#10;Ux+DgsdFAQxDG00fOgWHz+3DGljKOhjtYkAFV0ywqW9vKl2aOIUPvOxzxygkpFIrsDkPJeepteh1&#10;WsQBA92+4uh1pnXsuBn1ROHe8WVRSO51H+iD1QM2FtvT/uwV7K7cTsI/H9qmkTspvrf69O6Uur+b&#10;316BZZzzHwy/+qQONTkd4zmYxJwCsSoEoQrWS5oEiBdJ5Y5EPq0k8Lri/yvUPwAAAP//AwBQSwEC&#10;LQAUAAYACAAAACEAtoM4kv4AAADhAQAAEwAAAAAAAAAAAAAAAAAAAAAAW0NvbnRlbnRfVHlwZXNd&#10;LnhtbFBLAQItABQABgAIAAAAIQA4/SH/1gAAAJQBAAALAAAAAAAAAAAAAAAAAC8BAABfcmVscy8u&#10;cmVsc1BLAQItABQABgAIAAAAIQBp2cIdtgEAAFkDAAAOAAAAAAAAAAAAAAAAAC4CAABkcnMvZTJv&#10;RG9jLnhtbFBLAQItABQABgAIAAAAIQBd6O6D3gAAAAoBAAAPAAAAAAAAAAAAAAAAABAEAABkcnMv&#10;ZG93bnJldi54bWxQSwUGAAAAAAQABADzAAAAGwUAAAAA&#10;" filled="f" stroked="f">
                <v:textbox style="layout-flow:vertical;mso-layout-flow-alt:bottom-to-top" inset="0,0,0,0">
                  <w:txbxContent>
                    <w:p w14:paraId="72D77E2C" w14:textId="77777777" w:rsidR="00A1205E" w:rsidRDefault="00A1205E" w:rsidP="00A1205E">
                      <w:pPr>
                        <w:spacing w:before="26"/>
                        <w:ind w:left="20"/>
                        <w:rPr>
                          <w:sz w:val="18"/>
                        </w:rPr>
                      </w:pPr>
                      <w:r>
                        <w:rPr>
                          <w:color w:val="FFFFFF"/>
                          <w:spacing w:val="-2"/>
                          <w:w w:val="105"/>
                          <w:sz w:val="18"/>
                        </w:rPr>
                        <w:t>бізнесу</w:t>
                      </w:r>
                    </w:p>
                  </w:txbxContent>
                </v:textbox>
                <w10:wrap anchorx="page"/>
              </v:shape>
            </w:pict>
          </mc:Fallback>
        </mc:AlternateContent>
      </w:r>
      <w:r w:rsidRPr="00D21417">
        <w:rPr>
          <w:rFonts w:ascii="Times New Roman" w:hAnsi="Times New Roman" w:cs="Times New Roman"/>
          <w:noProof/>
          <w:sz w:val="20"/>
          <w:szCs w:val="20"/>
        </w:rPr>
        <mc:AlternateContent>
          <mc:Choice Requires="wps">
            <w:drawing>
              <wp:anchor distT="0" distB="0" distL="0" distR="0" simplePos="0" relativeHeight="251703296" behindDoc="1" locked="0" layoutInCell="1" allowOverlap="1" wp14:anchorId="0F2579F9" wp14:editId="2BC4FD48">
                <wp:simplePos x="0" y="0"/>
                <wp:positionH relativeFrom="page">
                  <wp:posOffset>3710509</wp:posOffset>
                </wp:positionH>
                <wp:positionV relativeFrom="paragraph">
                  <wp:posOffset>402744</wp:posOffset>
                </wp:positionV>
                <wp:extent cx="163195" cy="654685"/>
                <wp:effectExtent l="0" t="0" r="0" b="0"/>
                <wp:wrapNone/>
                <wp:docPr id="342" name="Textbox 3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3195" cy="654685"/>
                        </a:xfrm>
                        <a:prstGeom prst="rect">
                          <a:avLst/>
                        </a:prstGeom>
                      </wps:spPr>
                      <wps:txbx>
                        <w:txbxContent>
                          <w:p w14:paraId="501062AF" w14:textId="77777777" w:rsidR="00A1205E" w:rsidRDefault="00A1205E" w:rsidP="00A1205E">
                            <w:pPr>
                              <w:spacing w:before="26"/>
                              <w:ind w:left="20"/>
                              <w:rPr>
                                <w:sz w:val="18"/>
                              </w:rPr>
                            </w:pPr>
                            <w:r>
                              <w:rPr>
                                <w:color w:val="FFFFFF"/>
                                <w:sz w:val="18"/>
                              </w:rPr>
                              <w:t>дозволів</w:t>
                            </w:r>
                            <w:r>
                              <w:rPr>
                                <w:color w:val="FFFFFF"/>
                                <w:spacing w:val="17"/>
                                <w:sz w:val="18"/>
                              </w:rPr>
                              <w:t xml:space="preserve"> </w:t>
                            </w:r>
                            <w:r>
                              <w:rPr>
                                <w:color w:val="FFFFFF"/>
                                <w:spacing w:val="-5"/>
                                <w:sz w:val="18"/>
                              </w:rPr>
                              <w:t>на</w:t>
                            </w:r>
                          </w:p>
                        </w:txbxContent>
                      </wps:txbx>
                      <wps:bodyPr vert="vert270" wrap="square" lIns="0" tIns="0" rIns="0" bIns="0" rtlCol="0">
                        <a:noAutofit/>
                      </wps:bodyPr>
                    </wps:wsp>
                  </a:graphicData>
                </a:graphic>
              </wp:anchor>
            </w:drawing>
          </mc:Choice>
          <mc:Fallback>
            <w:pict>
              <v:shape w14:anchorId="0F2579F9" id="Textbox 342" o:spid="_x0000_s1079" type="#_x0000_t202" style="position:absolute;left:0;text-align:left;margin-left:292.15pt;margin-top:31.7pt;width:12.85pt;height:51.55pt;z-index:-25161318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8MPtgEAAFkDAAAOAAAAZHJzL2Uyb0RvYy54bWysU8tu2zAQvBfoPxC817KV2E0Fy0EeaFEg&#10;aAsk/QCKIi0iIpfl0pb8911SthM0t6CXFR/D2Znd1fp6tD3bq4AGXM0XszlnyklojdvW/PfT109X&#10;nGEUrhU9OFXzg0J+vfn4YT34SpXQQd+qwIjEYTX4mncx+qooUHbKCpyBV44uNQQrIm3DtmiDGIjd&#10;9kU5n6+KAULrA0iFSKf30yXfZH6tlYw/tUYVWV9z0hZzDDk2KRabtai2QfjOyKMM8Q4VVhhHSc9U&#10;9yIKtgvmDZU1MgCCjjMJtgCtjVTZA7lZzP9x89gJr7IXKg76c5nw/9HKH/tfgZm25heXJWdOWGrS&#10;kxpjAyNLR1SgwWNFuEdPyDjewkiNzmbRP4B8RoIUrzDTAyR0Ksiog01fssroIfXgcK47pWEysa0u&#10;Fl+WnEm6Wi0vV1fLlLZ4eewDxm8KLEuLmgdqaxYg9g8YJ+gJctQypU+q4tiM2WB5NtNAeyAvNLZE&#10;lmL5mXQNNAU1xz87ERRn/XdHZU4jc1qE06I5LULs7yAPVnLo4GYXQZssKGWe0hwFUf+ypeOspQF5&#10;vc+olz9i8xcAAP//AwBQSwMEFAAGAAgAAAAhANZOlXDdAAAACgEAAA8AAABkcnMvZG93bnJldi54&#10;bWxMj8tuwjAQRfeV+AdrKnVXHBpioTQOqiKh7pBK+YAhNnGEHyE2JPx9p6t2OZqje8+ttrOz7K7H&#10;2AcvYbXMgGnfBtX7TsLxe/e6ARYTeoU2eC3hoSNs68VThaUKk//S90PqGIX4WKIEk9JQch5box3G&#10;ZRi0p985jA4TnWPH1YgThTvL37JMcIe9pwaDg26Mbi+Hm5Owf3Az5a44tk0j9iK/7vDyaaV8eZ4/&#10;3oElPac/GH71SR1qcjqFm1eRWQnFZp0TKkHka2AEiFVG405EClEAryv+f0L9AwAA//8DAFBLAQIt&#10;ABQABgAIAAAAIQC2gziS/gAAAOEBAAATAAAAAAAAAAAAAAAAAAAAAABbQ29udGVudF9UeXBlc10u&#10;eG1sUEsBAi0AFAAGAAgAAAAhADj9If/WAAAAlAEAAAsAAAAAAAAAAAAAAAAALwEAAF9yZWxzLy5y&#10;ZWxzUEsBAi0AFAAGAAgAAAAhACkTww+2AQAAWQMAAA4AAAAAAAAAAAAAAAAALgIAAGRycy9lMm9E&#10;b2MueG1sUEsBAi0AFAAGAAgAAAAhANZOlXDdAAAACgEAAA8AAAAAAAAAAAAAAAAAEAQAAGRycy9k&#10;b3ducmV2LnhtbFBLBQYAAAAABAAEAPMAAAAaBQAAAAA=&#10;" filled="f" stroked="f">
                <v:textbox style="layout-flow:vertical;mso-layout-flow-alt:bottom-to-top" inset="0,0,0,0">
                  <w:txbxContent>
                    <w:p w14:paraId="501062AF" w14:textId="77777777" w:rsidR="00A1205E" w:rsidRDefault="00A1205E" w:rsidP="00A1205E">
                      <w:pPr>
                        <w:spacing w:before="26"/>
                        <w:ind w:left="20"/>
                        <w:rPr>
                          <w:sz w:val="18"/>
                        </w:rPr>
                      </w:pPr>
                      <w:r>
                        <w:rPr>
                          <w:color w:val="FFFFFF"/>
                          <w:sz w:val="18"/>
                        </w:rPr>
                        <w:t>дозволів</w:t>
                      </w:r>
                      <w:r>
                        <w:rPr>
                          <w:color w:val="FFFFFF"/>
                          <w:spacing w:val="17"/>
                          <w:sz w:val="18"/>
                        </w:rPr>
                        <w:t xml:space="preserve"> </w:t>
                      </w:r>
                      <w:r>
                        <w:rPr>
                          <w:color w:val="FFFFFF"/>
                          <w:spacing w:val="-5"/>
                          <w:sz w:val="18"/>
                        </w:rPr>
                        <w:t>на</w:t>
                      </w:r>
                    </w:p>
                  </w:txbxContent>
                </v:textbox>
                <w10:wrap anchorx="page"/>
              </v:shape>
            </w:pict>
          </mc:Fallback>
        </mc:AlternateContent>
      </w:r>
      <w:r w:rsidRPr="00D21417">
        <w:rPr>
          <w:rFonts w:ascii="Times New Roman" w:hAnsi="Times New Roman" w:cs="Times New Roman"/>
          <w:noProof/>
          <w:sz w:val="20"/>
          <w:szCs w:val="20"/>
        </w:rPr>
        <mc:AlternateContent>
          <mc:Choice Requires="wps">
            <w:drawing>
              <wp:anchor distT="0" distB="0" distL="0" distR="0" simplePos="0" relativeHeight="251704320" behindDoc="1" locked="0" layoutInCell="1" allowOverlap="1" wp14:anchorId="3F3572FF" wp14:editId="00897130">
                <wp:simplePos x="0" y="0"/>
                <wp:positionH relativeFrom="page">
                  <wp:posOffset>4452888</wp:posOffset>
                </wp:positionH>
                <wp:positionV relativeFrom="paragraph">
                  <wp:posOffset>308258</wp:posOffset>
                </wp:positionV>
                <wp:extent cx="163195" cy="843915"/>
                <wp:effectExtent l="0" t="0" r="0" b="0"/>
                <wp:wrapNone/>
                <wp:docPr id="343" name="Textbox 3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3195" cy="843915"/>
                        </a:xfrm>
                        <a:prstGeom prst="rect">
                          <a:avLst/>
                        </a:prstGeom>
                      </wps:spPr>
                      <wps:txbx>
                        <w:txbxContent>
                          <w:p w14:paraId="1FA6A16D" w14:textId="77777777" w:rsidR="00A1205E" w:rsidRDefault="00A1205E" w:rsidP="00A1205E">
                            <w:pPr>
                              <w:spacing w:before="26"/>
                              <w:ind w:left="20"/>
                              <w:rPr>
                                <w:sz w:val="18"/>
                              </w:rPr>
                            </w:pPr>
                            <w:r>
                              <w:rPr>
                                <w:color w:val="FFFFFF"/>
                                <w:spacing w:val="-2"/>
                                <w:w w:val="105"/>
                                <w:sz w:val="18"/>
                              </w:rPr>
                              <w:t>електромережі</w:t>
                            </w:r>
                          </w:p>
                        </w:txbxContent>
                      </wps:txbx>
                      <wps:bodyPr vert="vert270" wrap="square" lIns="0" tIns="0" rIns="0" bIns="0" rtlCol="0">
                        <a:noAutofit/>
                      </wps:bodyPr>
                    </wps:wsp>
                  </a:graphicData>
                </a:graphic>
              </wp:anchor>
            </w:drawing>
          </mc:Choice>
          <mc:Fallback>
            <w:pict>
              <v:shape w14:anchorId="3F3572FF" id="Textbox 343" o:spid="_x0000_s1080" type="#_x0000_t202" style="position:absolute;left:0;text-align:left;margin-left:350.6pt;margin-top:24.25pt;width:12.85pt;height:66.45pt;z-index:-25161216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EiLtwEAAFkDAAAOAAAAZHJzL2Uyb0RvYy54bWysU8tu2zAQvBfoPxC81/QjSRPBctA2aFEg&#10;aAok+QCKIi2iIpfl0pb8911SthO0tyKXFR/D2Znd1fp2dD3b64gWfM0Xszln2itord/W/Pnp64dr&#10;zjBJ38oevK75QSO/3bx/tx5CpZfQQd/qyIjEYzWEmncphUoIVJ12EmcQtKdLA9HJRNu4FW2UA7G7&#10;Xizn8ysxQGxDBKUR6fRuuuSbwm+MVunBGNSJ9TUnbanEWGKTo9isZbWNMnRWHWXI/1DhpPWU9Ex1&#10;J5Nku2j/oXJWRUAwaabACTDGKl08kJvF/C83j50Munih4mA4lwnfjlb92P+MzLY1X12sOPPSUZOe&#10;9JgaGFk+ogINASvCPQZCpvEzjNToYhbDPahfSBDxCjM9QELngowmuvwlq4weUg8O57pTGqYy29Vq&#10;cXPJmaKr64vVzeIypxUvj0PE9E2DY3lR80htLQLk/h7TBD1Bjlqm9FlVGpuxGFyezTTQHsgLjS2R&#10;5bj8SLoGmoKa4++djJqz/runMueROS3iadGcFjH1X6AMVnbo4dMugbFFUM48pTkKov4VS8dZywPy&#10;el9QL3/E5g8AAAD//wMAUEsDBBQABgAIAAAAIQB0w+vb3wAAAAoBAAAPAAAAZHJzL2Rvd25yZXYu&#10;eG1sTI/LboMwEEX3lfoP1lTqrjGQhFCKiSqkqLtITfIBDp5iFD8odgL5+05X7XJ0j+49U21na9gN&#10;x9B7JyBdJMDQtV71rhNwOu5eCmAhSqek8Q4F3DHAtn58qGSp/OQ+8XaIHaMSF0opQMc4lJyHVqOV&#10;YeEHdJR9+dHKSOfYcTXKicqt4VmS5NzK3tGClgM2GtvL4WoF7O9cT0u7PrVNk+/z5fdOXj6MEM9P&#10;8/sbsIhz/IPhV5/UoSans786FZgRsEnSjFABq2INjIBNlr8COxNZpCvgdcX/v1D/AAAA//8DAFBL&#10;AQItABQABgAIAAAAIQC2gziS/gAAAOEBAAATAAAAAAAAAAAAAAAAAAAAAABbQ29udGVudF9UeXBl&#10;c10ueG1sUEsBAi0AFAAGAAgAAAAhADj9If/WAAAAlAEAAAsAAAAAAAAAAAAAAAAALwEAAF9yZWxz&#10;Ly5yZWxzUEsBAi0AFAAGAAgAAAAhAK2USIu3AQAAWQMAAA4AAAAAAAAAAAAAAAAALgIAAGRycy9l&#10;Mm9Eb2MueG1sUEsBAi0AFAAGAAgAAAAhAHTD69vfAAAACgEAAA8AAAAAAAAAAAAAAAAAEQQAAGRy&#10;cy9kb3ducmV2LnhtbFBLBQYAAAAABAAEAPMAAAAdBQAAAAA=&#10;" filled="f" stroked="f">
                <v:textbox style="layout-flow:vertical;mso-layout-flow-alt:bottom-to-top" inset="0,0,0,0">
                  <w:txbxContent>
                    <w:p w14:paraId="1FA6A16D" w14:textId="77777777" w:rsidR="00A1205E" w:rsidRDefault="00A1205E" w:rsidP="00A1205E">
                      <w:pPr>
                        <w:spacing w:before="26"/>
                        <w:ind w:left="20"/>
                        <w:rPr>
                          <w:sz w:val="18"/>
                        </w:rPr>
                      </w:pPr>
                      <w:r>
                        <w:rPr>
                          <w:color w:val="FFFFFF"/>
                          <w:spacing w:val="-2"/>
                          <w:w w:val="105"/>
                          <w:sz w:val="18"/>
                        </w:rPr>
                        <w:t>електромережі</w:t>
                      </w:r>
                    </w:p>
                  </w:txbxContent>
                </v:textbox>
                <w10:wrap anchorx="page"/>
              </v:shape>
            </w:pict>
          </mc:Fallback>
        </mc:AlternateContent>
      </w:r>
      <w:r w:rsidRPr="00D21417">
        <w:rPr>
          <w:rFonts w:ascii="Times New Roman" w:hAnsi="Times New Roman" w:cs="Times New Roman"/>
          <w:noProof/>
          <w:sz w:val="20"/>
          <w:szCs w:val="20"/>
        </w:rPr>
        <mc:AlternateContent>
          <mc:Choice Requires="wps">
            <w:drawing>
              <wp:anchor distT="0" distB="0" distL="0" distR="0" simplePos="0" relativeHeight="251705344" behindDoc="1" locked="0" layoutInCell="1" allowOverlap="1" wp14:anchorId="33C7FC08" wp14:editId="1A1C7E39">
                <wp:simplePos x="0" y="0"/>
                <wp:positionH relativeFrom="page">
                  <wp:posOffset>5138116</wp:posOffset>
                </wp:positionH>
                <wp:positionV relativeFrom="paragraph">
                  <wp:posOffset>458575</wp:posOffset>
                </wp:positionV>
                <wp:extent cx="163195" cy="542925"/>
                <wp:effectExtent l="0" t="0" r="0" b="0"/>
                <wp:wrapNone/>
                <wp:docPr id="344" name="Textbox 3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3195" cy="542925"/>
                        </a:xfrm>
                        <a:prstGeom prst="rect">
                          <a:avLst/>
                        </a:prstGeom>
                      </wps:spPr>
                      <wps:txbx>
                        <w:txbxContent>
                          <w:p w14:paraId="568BA1DF" w14:textId="77777777" w:rsidR="00A1205E" w:rsidRDefault="00A1205E" w:rsidP="00A1205E">
                            <w:pPr>
                              <w:spacing w:before="26"/>
                              <w:ind w:left="20"/>
                              <w:rPr>
                                <w:sz w:val="18"/>
                              </w:rPr>
                            </w:pPr>
                            <w:r>
                              <w:rPr>
                                <w:color w:val="FFFFFF"/>
                                <w:spacing w:val="-2"/>
                                <w:w w:val="105"/>
                                <w:sz w:val="18"/>
                              </w:rPr>
                              <w:t>власності</w:t>
                            </w:r>
                          </w:p>
                        </w:txbxContent>
                      </wps:txbx>
                      <wps:bodyPr vert="vert270" wrap="square" lIns="0" tIns="0" rIns="0" bIns="0" rtlCol="0">
                        <a:noAutofit/>
                      </wps:bodyPr>
                    </wps:wsp>
                  </a:graphicData>
                </a:graphic>
              </wp:anchor>
            </w:drawing>
          </mc:Choice>
          <mc:Fallback>
            <w:pict>
              <v:shape w14:anchorId="33C7FC08" id="Textbox 344" o:spid="_x0000_s1081" type="#_x0000_t202" style="position:absolute;left:0;text-align:left;margin-left:404.6pt;margin-top:36.1pt;width:12.85pt;height:42.75pt;z-index:-25161113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1u1GtwEAAFkDAAAOAAAAZHJzL2Uyb0RvYy54bWysU8tu2zAQvBfIPxC8x7IVO20Ey0HboEGA&#10;oC2Q5AMoirSIilyWS1vy33dJ2U7Q3opcVnwMZ2d2V+vb0fZsrwIacDVfzOacKSehNW5b85fnb5ef&#10;OMMoXCt6cKrmB4X8dnPxYT34SpXQQd+qwIjEYTX4mncx+qooUHbKCpyBV44uNQQrIm3DtmiDGIjd&#10;9kU5n18XA4TWB5AKkU7vpku+yfxaKxl/aI0qsr7mpC3mGHJsUiw2a1Ftg/CdkUcZ4j9UWGEcJT1T&#10;3Yko2C6Yf6iskQEQdJxJsAVobaTKHsjNYv6Xm6dOeJW9UHHQn8uE70crv+9/Bmbaml8tl5w5YalJ&#10;z2qMDYwsHVGBBo8V4Z48IeP4BUZqdDaL/hHkLyRI8QYzPUBCp4KMOtj0JauMHlIPDue6UxomE9v1&#10;1eJmxZmkq9WyvClXKW3x+tgHjPcKLEuLmgdqaxYg9o8YJ+gJctQypU+q4tiM2WB5NtNAeyAvNLZE&#10;lmL5kXQNNAU1x987ERRn/YOjMqeROS3CadGcFiH2XyEPVnLo4PMugjZZUMo8pTkKov5lS8dZSwPy&#10;dp9Rr3/E5g8AAAD//wMAUEsDBBQABgAIAAAAIQA8n0Wv3wAAAAoBAAAPAAAAZHJzL2Rvd25yZXYu&#10;eG1sTI/LTsMwEEX3SPyDNUjsqENCkzTEqVCkil0lSj9gGps4qh8hdpv07xlWsBqN5ujOufV2sYZd&#10;1RQG7wQ8rxJgynVeDq4XcPzcPZXAQkQn0XinBNxUgG1zf1djJf3sPtT1EHtGIS5UKEDHOFach04r&#10;i2HlR+Xo9uUni5HWqedywpnCreFpkuTc4uDog8ZRtVp158PFCtjfuJ4zuz52bZvv8+x7h+d3I8Tj&#10;w/L2CiyqJf7B8KtP6tCQ08lfnAzMCCiTTUqogCKlSUCZvWyAnYhcFwXwpub/KzQ/AAAA//8DAFBL&#10;AQItABQABgAIAAAAIQC2gziS/gAAAOEBAAATAAAAAAAAAAAAAAAAAAAAAABbQ29udGVudF9UeXBl&#10;c10ueG1sUEsBAi0AFAAGAAgAAAAhADj9If/WAAAAlAEAAAsAAAAAAAAAAAAAAAAALwEAAF9yZWxz&#10;Ly5yZWxzUEsBAi0AFAAGAAgAAAAhANDW7Ua3AQAAWQMAAA4AAAAAAAAAAAAAAAAALgIAAGRycy9l&#10;Mm9Eb2MueG1sUEsBAi0AFAAGAAgAAAAhADyfRa/fAAAACgEAAA8AAAAAAAAAAAAAAAAAEQQAAGRy&#10;cy9kb3ducmV2LnhtbFBLBQYAAAAABAAEAPMAAAAdBQAAAAA=&#10;" filled="f" stroked="f">
                <v:textbox style="layout-flow:vertical;mso-layout-flow-alt:bottom-to-top" inset="0,0,0,0">
                  <w:txbxContent>
                    <w:p w14:paraId="568BA1DF" w14:textId="77777777" w:rsidR="00A1205E" w:rsidRDefault="00A1205E" w:rsidP="00A1205E">
                      <w:pPr>
                        <w:spacing w:before="26"/>
                        <w:ind w:left="20"/>
                        <w:rPr>
                          <w:sz w:val="18"/>
                        </w:rPr>
                      </w:pPr>
                      <w:r>
                        <w:rPr>
                          <w:color w:val="FFFFFF"/>
                          <w:spacing w:val="-2"/>
                          <w:w w:val="105"/>
                          <w:sz w:val="18"/>
                        </w:rPr>
                        <w:t>власності</w:t>
                      </w:r>
                    </w:p>
                  </w:txbxContent>
                </v:textbox>
                <w10:wrap anchorx="page"/>
              </v:shape>
            </w:pict>
          </mc:Fallback>
        </mc:AlternateContent>
      </w:r>
      <w:r w:rsidRPr="00D21417">
        <w:rPr>
          <w:rFonts w:ascii="Times New Roman" w:hAnsi="Times New Roman" w:cs="Times New Roman"/>
          <w:noProof/>
          <w:sz w:val="20"/>
          <w:szCs w:val="20"/>
        </w:rPr>
        <mc:AlternateContent>
          <mc:Choice Requires="wps">
            <w:drawing>
              <wp:anchor distT="0" distB="0" distL="0" distR="0" simplePos="0" relativeHeight="251706368" behindDoc="1" locked="0" layoutInCell="1" allowOverlap="1" wp14:anchorId="52232257" wp14:editId="28E94CB2">
                <wp:simplePos x="0" y="0"/>
                <wp:positionH relativeFrom="page">
                  <wp:posOffset>7879030</wp:posOffset>
                </wp:positionH>
                <wp:positionV relativeFrom="paragraph">
                  <wp:posOffset>485109</wp:posOffset>
                </wp:positionV>
                <wp:extent cx="163195" cy="490220"/>
                <wp:effectExtent l="0" t="0" r="0" b="0"/>
                <wp:wrapNone/>
                <wp:docPr id="345" name="Textbox 3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3195" cy="490220"/>
                        </a:xfrm>
                        <a:prstGeom prst="rect">
                          <a:avLst/>
                        </a:prstGeom>
                      </wps:spPr>
                      <wps:txbx>
                        <w:txbxContent>
                          <w:p w14:paraId="45CDC898" w14:textId="77777777" w:rsidR="00A1205E" w:rsidRDefault="00A1205E" w:rsidP="00A1205E">
                            <w:pPr>
                              <w:spacing w:before="26"/>
                              <w:ind w:left="20"/>
                              <w:rPr>
                                <w:sz w:val="18"/>
                              </w:rPr>
                            </w:pPr>
                            <w:r>
                              <w:rPr>
                                <w:color w:val="FFFFFF"/>
                                <w:spacing w:val="-2"/>
                                <w:w w:val="105"/>
                                <w:sz w:val="18"/>
                              </w:rPr>
                              <w:t>торгівля</w:t>
                            </w:r>
                          </w:p>
                        </w:txbxContent>
                      </wps:txbx>
                      <wps:bodyPr vert="vert270" wrap="square" lIns="0" tIns="0" rIns="0" bIns="0" rtlCol="0">
                        <a:noAutofit/>
                      </wps:bodyPr>
                    </wps:wsp>
                  </a:graphicData>
                </a:graphic>
              </wp:anchor>
            </w:drawing>
          </mc:Choice>
          <mc:Fallback>
            <w:pict>
              <v:shape w14:anchorId="52232257" id="Textbox 345" o:spid="_x0000_s1082" type="#_x0000_t202" style="position:absolute;left:0;text-align:left;margin-left:620.4pt;margin-top:38.2pt;width:12.85pt;height:38.6pt;z-index:-25161011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UlntgEAAFkDAAAOAAAAZHJzL2Uyb0RvYy54bWysU9tu2zAMfR+wfxD0vshxu2414hTbig0D&#10;inVA2w+QZSkWZomaqMTO349SLi22t2IvNCWRh+eQ9OpmdiPb6YgWfMuXi4oz7RX01m9a/vT49d1H&#10;zjBJ38sRvG75XiO/Wb99s5pCo2sYYOx1ZATisZlCy4eUQiMEqkE7iQsI2tOjgehkomPciD7KidDd&#10;KOqquhITxD5EUBqRbm8Pj3xd8I3RKt0bgzqxseXELRUbi+2yFeuVbDZRhsGqIw35ChZOWk9Fz1C3&#10;Mkm2jfYfKGdVBASTFgqcAGOs0kUDqVlWf6l5GGTQRQs1B8O5Tfj/YNWP3c/IbN/yi8v3nHnpaEiP&#10;ek4dzCxfUYOmgA3FPQSKTPNnmGnQRSyGO1C/kELEi5hDAlJ0bshsostfksookWawP/edyjCV0a4u&#10;ltdUXdHT5XVV12Uu4jk5REzfNDiWnZZHGmshIHd3mHJ52ZxCjlwO5TOrNHdzEVifxXTQ70kLrS2B&#10;ZVt/IF4TbUHL8fdWRs3Z+N1Tm/PKnJx4crqTE9P4BcpiZYUePm0TGFsI5cqHMkdCNL/C87hreUFe&#10;nkvU8x+x/gMAAP//AwBQSwMEFAAGAAgAAAAhAGZ9HfffAAAADAEAAA8AAABkcnMvZG93bnJldi54&#10;bWxMj8FOwzAQRO9I/IO1SNyoQ9IYFOJUKFLFrRKlH+DGJo5qr0PsNunfsz3BbUYzmn1bbxbv2MVM&#10;cQgo4XmVATPYBT1gL+HwtX16BRaTQq1cQCPhaiJsmvu7WlU6zPhpLvvUMxrBWCkJNqWx4jx21ngV&#10;V2E0SNl3mLxKZKee60nNNO4dz7NMcK8GpAtWjaa1pjvtz17C7srtXPjy0LWt2IniZ6tOH07Kx4fl&#10;/Q1YMkv6K8MNn9ChIaZjOKOOzJHP1xmxJwkvYg3s1siFKIEdSZWFAN7U/P8TzS8AAAD//wMAUEsB&#10;Ai0AFAAGAAgAAAAhALaDOJL+AAAA4QEAABMAAAAAAAAAAAAAAAAAAAAAAFtDb250ZW50X1R5cGVz&#10;XS54bWxQSwECLQAUAAYACAAAACEAOP0h/9YAAACUAQAACwAAAAAAAAAAAAAAAAAvAQAAX3JlbHMv&#10;LnJlbHNQSwECLQAUAAYACAAAACEAIzVJZ7YBAABZAwAADgAAAAAAAAAAAAAAAAAuAgAAZHJzL2Uy&#10;b0RvYy54bWxQSwECLQAUAAYACAAAACEAZn0d998AAAAMAQAADwAAAAAAAAAAAAAAAAAQBAAAZHJz&#10;L2Rvd25yZXYueG1sUEsFBgAAAAAEAAQA8wAAABwFAAAAAA==&#10;" filled="f" stroked="f">
                <v:textbox style="layout-flow:vertical;mso-layout-flow-alt:bottom-to-top" inset="0,0,0,0">
                  <w:txbxContent>
                    <w:p w14:paraId="45CDC898" w14:textId="77777777" w:rsidR="00A1205E" w:rsidRDefault="00A1205E" w:rsidP="00A1205E">
                      <w:pPr>
                        <w:spacing w:before="26"/>
                        <w:ind w:left="20"/>
                        <w:rPr>
                          <w:sz w:val="18"/>
                        </w:rPr>
                      </w:pPr>
                      <w:r>
                        <w:rPr>
                          <w:color w:val="FFFFFF"/>
                          <w:spacing w:val="-2"/>
                          <w:w w:val="105"/>
                          <w:sz w:val="18"/>
                        </w:rPr>
                        <w:t>торгівля</w:t>
                      </w:r>
                    </w:p>
                  </w:txbxContent>
                </v:textbox>
                <w10:wrap anchorx="page"/>
              </v:shape>
            </w:pict>
          </mc:Fallback>
        </mc:AlternateContent>
      </w:r>
      <w:r w:rsidRPr="00D21417">
        <w:rPr>
          <w:rFonts w:ascii="Times New Roman" w:hAnsi="Times New Roman" w:cs="Times New Roman"/>
          <w:noProof/>
          <w:sz w:val="20"/>
          <w:szCs w:val="20"/>
        </w:rPr>
        <mc:AlternateContent>
          <mc:Choice Requires="wps">
            <w:drawing>
              <wp:anchor distT="0" distB="0" distL="0" distR="0" simplePos="0" relativeHeight="251707392" behindDoc="1" locked="0" layoutInCell="1" allowOverlap="1" wp14:anchorId="193005CF" wp14:editId="625B9211">
                <wp:simplePos x="0" y="0"/>
                <wp:positionH relativeFrom="page">
                  <wp:posOffset>8507109</wp:posOffset>
                </wp:positionH>
                <wp:positionV relativeFrom="paragraph">
                  <wp:posOffset>417451</wp:posOffset>
                </wp:positionV>
                <wp:extent cx="163195" cy="625475"/>
                <wp:effectExtent l="0" t="0" r="0" b="0"/>
                <wp:wrapNone/>
                <wp:docPr id="346" name="Textbox 3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3195" cy="625475"/>
                        </a:xfrm>
                        <a:prstGeom prst="rect">
                          <a:avLst/>
                        </a:prstGeom>
                      </wps:spPr>
                      <wps:txbx>
                        <w:txbxContent>
                          <w:p w14:paraId="02954E3B" w14:textId="77777777" w:rsidR="00A1205E" w:rsidRDefault="00A1205E" w:rsidP="00A1205E">
                            <w:pPr>
                              <w:spacing w:before="26"/>
                              <w:ind w:left="20"/>
                              <w:rPr>
                                <w:sz w:val="18"/>
                              </w:rPr>
                            </w:pPr>
                            <w:r>
                              <w:rPr>
                                <w:color w:val="FFFFFF"/>
                                <w:spacing w:val="-2"/>
                                <w:w w:val="105"/>
                                <w:sz w:val="18"/>
                              </w:rPr>
                              <w:t>виконання</w:t>
                            </w:r>
                          </w:p>
                        </w:txbxContent>
                      </wps:txbx>
                      <wps:bodyPr vert="vert270" wrap="square" lIns="0" tIns="0" rIns="0" bIns="0" rtlCol="0">
                        <a:noAutofit/>
                      </wps:bodyPr>
                    </wps:wsp>
                  </a:graphicData>
                </a:graphic>
              </wp:anchor>
            </w:drawing>
          </mc:Choice>
          <mc:Fallback>
            <w:pict>
              <v:shape w14:anchorId="193005CF" id="Textbox 346" o:spid="_x0000_s1083" type="#_x0000_t202" style="position:absolute;left:0;text-align:left;margin-left:669.85pt;margin-top:32.85pt;width:12.85pt;height:49.25pt;z-index:-25160908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iWTtwEAAFkDAAAOAAAAZHJzL2Uyb0RvYy54bWysU8tu2zAQvBfIPxC817SV2GkFy0HTIEGB&#10;oC2Q5AMoirSEilyWS1vy33dJ2U7Q3oJeVnwMZ2d2V+ub0fZsrwN24Cq+mM05005B07ltxV+e7z9+&#10;4gyjdI3swemKHzTym83Fh/XgS11AC32jAyMSh+XgK97G6EshULXaSpyB144uDQQrI23DVjRBDsRu&#10;e1HM5ysxQGh8AKUR6fRuuuSbzG+MVvGHMagj6ytO2mKOIcc6RbFZy3IbpG87dZQh36HCys5R0jPV&#10;nYyS7UL3D5XtVAAEE2cKrABjOqWzB3KzmP/l5qmVXmcvVBz05zLh/6NV3/c/A+uail9erThz0lKT&#10;nvUYaxhZOqICDR5Lwj15QsbxFkZqdDaL/hHULySIeIOZHiChU0FGE2z6klVGD6kHh3PdKQ1TiW11&#10;ufi85EzR1apYXl0vU1rx+tgHjA8aLEuLigdqaxYg948YJ+gJctQypU+q4liP2WBxNlNDcyAvNLZE&#10;lmJxTboGmoKK4++dDJqz/pujMqeROS3CaVGfFiH2XyEPVnLo4MsugumyoJR5SnMURP3Llo6zlgbk&#10;7T6jXv+IzR8AAAD//wMAUEsDBBQABgAIAAAAIQDlRf9Y3wAAAAwBAAAPAAAAZHJzL2Rvd25yZXYu&#10;eG1sTI/BTsMwEETvSPyDtUjcqEPdGAhxKhSp4laJth/gxiaJaq9D7Dbp37M9wWl3NKPZt+V69o5d&#10;7Bj7gAqeFxkwi00wPbYKDvvN0yuwmDQa7QJaBVcbYV3d35W6MGHCL3vZpZZRCcZCK+hSGgrOY9NZ&#10;r+MiDBbJ+w6j14nk2HIz6onKvePLLJPc6x7pQqcHW3e2Oe3OXsH2yrtJ+PzQ1LXcSvGz0adPp9Tj&#10;w/zxDizZOf2F4YZP6FAR0zGc0UTmSAvx9kJZBTKneUsIma+AHWmTqyXwquT/n6h+AQAA//8DAFBL&#10;AQItABQABgAIAAAAIQC2gziS/gAAAOEBAAATAAAAAAAAAAAAAAAAAAAAAABbQ29udGVudF9UeXBl&#10;c10ueG1sUEsBAi0AFAAGAAgAAAAhADj9If/WAAAAlAEAAAsAAAAAAAAAAAAAAAAALwEAAF9yZWxz&#10;Ly5yZWxzUEsBAi0AFAAGAAgAAAAhAEdOJZO3AQAAWQMAAA4AAAAAAAAAAAAAAAAALgIAAGRycy9l&#10;Mm9Eb2MueG1sUEsBAi0AFAAGAAgAAAAhAOVF/1jfAAAADAEAAA8AAAAAAAAAAAAAAAAAEQQAAGRy&#10;cy9kb3ducmV2LnhtbFBLBQYAAAAABAAEAPMAAAAdBQAAAAA=&#10;" filled="f" stroked="f">
                <v:textbox style="layout-flow:vertical;mso-layout-flow-alt:bottom-to-top" inset="0,0,0,0">
                  <w:txbxContent>
                    <w:p w14:paraId="02954E3B" w14:textId="77777777" w:rsidR="00A1205E" w:rsidRDefault="00A1205E" w:rsidP="00A1205E">
                      <w:pPr>
                        <w:spacing w:before="26"/>
                        <w:ind w:left="20"/>
                        <w:rPr>
                          <w:sz w:val="18"/>
                        </w:rPr>
                      </w:pPr>
                      <w:r>
                        <w:rPr>
                          <w:color w:val="FFFFFF"/>
                          <w:spacing w:val="-2"/>
                          <w:w w:val="105"/>
                          <w:sz w:val="18"/>
                        </w:rPr>
                        <w:t>виконання</w:t>
                      </w:r>
                    </w:p>
                  </w:txbxContent>
                </v:textbox>
                <w10:wrap anchorx="page"/>
              </v:shape>
            </w:pict>
          </mc:Fallback>
        </mc:AlternateContent>
      </w:r>
      <w:r w:rsidRPr="00D21417">
        <w:rPr>
          <w:rFonts w:ascii="Times New Roman" w:hAnsi="Times New Roman" w:cs="Times New Roman"/>
          <w:noProof/>
          <w:sz w:val="20"/>
          <w:szCs w:val="20"/>
        </w:rPr>
        <mc:AlternateContent>
          <mc:Choice Requires="wps">
            <w:drawing>
              <wp:anchor distT="0" distB="0" distL="0" distR="0" simplePos="0" relativeHeight="251708416" behindDoc="1" locked="0" layoutInCell="1" allowOverlap="1" wp14:anchorId="6DFF7508" wp14:editId="7C39B275">
                <wp:simplePos x="0" y="0"/>
                <wp:positionH relativeFrom="page">
                  <wp:posOffset>9249488</wp:posOffset>
                </wp:positionH>
                <wp:positionV relativeFrom="paragraph">
                  <wp:posOffset>286569</wp:posOffset>
                </wp:positionV>
                <wp:extent cx="163195" cy="886460"/>
                <wp:effectExtent l="0" t="0" r="0" b="0"/>
                <wp:wrapNone/>
                <wp:docPr id="347" name="Textbox 3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3195" cy="886460"/>
                        </a:xfrm>
                        <a:prstGeom prst="rect">
                          <a:avLst/>
                        </a:prstGeom>
                      </wps:spPr>
                      <wps:txbx>
                        <w:txbxContent>
                          <w:p w14:paraId="34E6ED33" w14:textId="77777777" w:rsidR="00A1205E" w:rsidRDefault="00A1205E" w:rsidP="00A1205E">
                            <w:pPr>
                              <w:spacing w:before="26"/>
                              <w:ind w:left="20"/>
                              <w:rPr>
                                <w:sz w:val="18"/>
                              </w:rPr>
                            </w:pPr>
                            <w:r>
                              <w:rPr>
                                <w:color w:val="FFFFFF"/>
                                <w:spacing w:val="-2"/>
                                <w:sz w:val="18"/>
                              </w:rPr>
                              <w:t>тоспроможність</w:t>
                            </w:r>
                          </w:p>
                        </w:txbxContent>
                      </wps:txbx>
                      <wps:bodyPr vert="vert270" wrap="square" lIns="0" tIns="0" rIns="0" bIns="0" rtlCol="0">
                        <a:noAutofit/>
                      </wps:bodyPr>
                    </wps:wsp>
                  </a:graphicData>
                </a:graphic>
              </wp:anchor>
            </w:drawing>
          </mc:Choice>
          <mc:Fallback>
            <w:pict>
              <v:shape w14:anchorId="6DFF7508" id="Textbox 347" o:spid="_x0000_s1084" type="#_x0000_t202" style="position:absolute;left:0;text-align:left;margin-left:728.3pt;margin-top:22.55pt;width:12.85pt;height:69.8pt;z-index:-25160806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gOXtwEAAFkDAAAOAAAAZHJzL2Uyb0RvYy54bWysU9tu2zAMfR+wfxD0vihJuzQz4hS9YMOA&#10;YhvQ7gNkWYqFWqImKrHz96OUS4v1rdgLTUnk4TkkvboeXc92OqIFX/PZZMqZ9gpa6zc1//309dOS&#10;M0zSt7IHr2u+18iv1x8/rIZQ6Tl00Lc6MgLxWA2h5l1KoRICVaedxAkE7enRQHQy0TFuRBvlQOiu&#10;F/PpdCEGiG2IoDQi3d4fHvm64BujVfppDOrE+poTt1RsLLbJVqxXstpEGTqrjjTkO1g4aT0VPUPd&#10;yyTZNto3UM6qCAgmTRQ4AcZYpYsGUjOb/qPmsZNBFy3UHAznNuH/g1U/dr8is23NLy6vOPPS0ZCe&#10;9JgaGFm+ogYNASuKewwUmcZbGGnQRSyGB1DPSCHiVcwhASk6N2Q00eUvSWWUSDPYn/tOZZjKaIuL&#10;2ZfPnCl6Wi4Xl4syF/GSHCKmbxocy07NI421EJC7B0y5vKxOIUcuh/KZVRqbsQicn8U00O5JC60t&#10;gWU7vyJeA21BzfHPVkbNWf/dU5vzypyceHKakxNTfwdlsbJCDzfbBMYWQrnyocyREM2v8DzuWl6Q&#10;1+cS9fJHrP8CAAD//wMAUEsDBBQABgAIAAAAIQB2g00U3wAAAAwBAAAPAAAAZHJzL2Rvd25yZXYu&#10;eG1sTI9BboMwEEX3lXoHayp115gEcBHFRBVS1F2kpjnABE8xCrYpdgK5fZ1Vu5uvefrzptouZmBX&#10;mnzvrIT1KgFGtnWqt52E49fupQDmA1qFg7Mk4UYetvXjQ4WlcrP9pOshdCyWWF+iBB3CWHLuW00G&#10;/cqNZOPu200GQ4xTx9WEcyw3A98kieAGexsvaByp0dSeDxcjYX/jek5NfmybRuxF+rPD88cg5fPT&#10;8v4GLNAS/mC460d1qKPTyV2s8myIOcuFiKyELF8DuxNZsUmBneJUZK/A64r/f6L+BQAA//8DAFBL&#10;AQItABQABgAIAAAAIQC2gziS/gAAAOEBAAATAAAAAAAAAAAAAAAAAAAAAABbQ29udGVudF9UeXBl&#10;c10ueG1sUEsBAi0AFAAGAAgAAAAhADj9If/WAAAAlAEAAAsAAAAAAAAAAAAAAAAALwEAAF9yZWxz&#10;Ly5yZWxzUEsBAi0AFAAGAAgAAAAhAAKKA5e3AQAAWQMAAA4AAAAAAAAAAAAAAAAALgIAAGRycy9l&#10;Mm9Eb2MueG1sUEsBAi0AFAAGAAgAAAAhAHaDTRTfAAAADAEAAA8AAAAAAAAAAAAAAAAAEQQAAGRy&#10;cy9kb3ducmV2LnhtbFBLBQYAAAAABAAEAPMAAAAdBQAAAAA=&#10;" filled="f" stroked="f">
                <v:textbox style="layout-flow:vertical;mso-layout-flow-alt:bottom-to-top" inset="0,0,0,0">
                  <w:txbxContent>
                    <w:p w14:paraId="34E6ED33" w14:textId="77777777" w:rsidR="00A1205E" w:rsidRDefault="00A1205E" w:rsidP="00A1205E">
                      <w:pPr>
                        <w:spacing w:before="26"/>
                        <w:ind w:left="20"/>
                        <w:rPr>
                          <w:sz w:val="18"/>
                        </w:rPr>
                      </w:pPr>
                      <w:r>
                        <w:rPr>
                          <w:color w:val="FFFFFF"/>
                          <w:spacing w:val="-2"/>
                          <w:sz w:val="18"/>
                        </w:rPr>
                        <w:t>тоспроможність</w:t>
                      </w:r>
                    </w:p>
                  </w:txbxContent>
                </v:textbox>
                <w10:wrap anchorx="page"/>
              </v:shape>
            </w:pict>
          </mc:Fallback>
        </mc:AlternateContent>
      </w:r>
      <w:r w:rsidRPr="00D21417">
        <w:rPr>
          <w:rFonts w:ascii="Times New Roman" w:hAnsi="Times New Roman" w:cs="Times New Roman"/>
          <w:sz w:val="20"/>
          <w:szCs w:val="20"/>
        </w:rPr>
        <w:t>Рейтинг країн світу щодо умов ведення бізнесу [за даними глобального рейтингу країн світу Doing Business</w:t>
      </w:r>
      <w:r w:rsidRPr="00D21417">
        <w:rPr>
          <w:rFonts w:ascii="Times New Roman" w:hAnsi="Times New Roman" w:cs="Times New Roman"/>
          <w:sz w:val="16"/>
          <w:szCs w:val="16"/>
        </w:rPr>
        <w:t>]</w:t>
      </w:r>
    </w:p>
    <w:tbl>
      <w:tblPr>
        <w:tblW w:w="5268" w:type="pct"/>
        <w:tblBorders>
          <w:top w:val="single" w:sz="18" w:space="0" w:color="007B3A"/>
          <w:left w:val="single" w:sz="18" w:space="0" w:color="007B3A"/>
          <w:bottom w:val="single" w:sz="18" w:space="0" w:color="007B3A"/>
          <w:right w:val="single" w:sz="18" w:space="0" w:color="007B3A"/>
          <w:insideH w:val="single" w:sz="18" w:space="0" w:color="007B3A"/>
          <w:insideV w:val="single" w:sz="18" w:space="0" w:color="007B3A"/>
        </w:tblBorders>
        <w:tblCellMar>
          <w:left w:w="0" w:type="dxa"/>
          <w:right w:w="0" w:type="dxa"/>
        </w:tblCellMar>
        <w:tblLook w:val="01E0" w:firstRow="1" w:lastRow="1" w:firstColumn="1" w:lastColumn="1" w:noHBand="0" w:noVBand="0"/>
      </w:tblPr>
      <w:tblGrid>
        <w:gridCol w:w="1707"/>
        <w:gridCol w:w="1065"/>
        <w:gridCol w:w="575"/>
        <w:gridCol w:w="456"/>
        <w:gridCol w:w="399"/>
        <w:gridCol w:w="585"/>
        <w:gridCol w:w="399"/>
        <w:gridCol w:w="399"/>
        <w:gridCol w:w="771"/>
        <w:gridCol w:w="662"/>
      </w:tblGrid>
      <w:tr w:rsidR="00A1205E" w:rsidRPr="00853A21" w14:paraId="57757699" w14:textId="77777777" w:rsidTr="001000BC">
        <w:trPr>
          <w:trHeight w:val="1946"/>
        </w:trPr>
        <w:tc>
          <w:tcPr>
            <w:tcW w:w="867" w:type="pct"/>
            <w:tcBorders>
              <w:bottom w:val="single" w:sz="4" w:space="0" w:color="000000"/>
              <w:right w:val="single" w:sz="4" w:space="0" w:color="000000"/>
            </w:tcBorders>
            <w:shd w:val="clear" w:color="auto" w:fill="007B3A"/>
          </w:tcPr>
          <w:p w14:paraId="7C9498B1" w14:textId="77777777" w:rsidR="00A1205E" w:rsidRPr="00884A71" w:rsidRDefault="00A1205E" w:rsidP="001000BC">
            <w:pPr>
              <w:adjustRightInd w:val="0"/>
              <w:snapToGrid w:val="0"/>
              <w:spacing w:after="0" w:line="240" w:lineRule="auto"/>
              <w:jc w:val="both"/>
              <w:rPr>
                <w:rFonts w:ascii="Times New Roman" w:hAnsi="Times New Roman" w:cs="Times New Roman"/>
                <w:b/>
                <w:sz w:val="16"/>
                <w:szCs w:val="16"/>
              </w:rPr>
            </w:pPr>
          </w:p>
          <w:p w14:paraId="6BB2B6A2" w14:textId="77777777" w:rsidR="00A1205E" w:rsidRPr="00884A71" w:rsidRDefault="00A1205E" w:rsidP="001000BC">
            <w:pPr>
              <w:adjustRightInd w:val="0"/>
              <w:snapToGrid w:val="0"/>
              <w:spacing w:after="0" w:line="240" w:lineRule="auto"/>
              <w:jc w:val="both"/>
              <w:rPr>
                <w:rFonts w:ascii="Times New Roman" w:hAnsi="Times New Roman" w:cs="Times New Roman"/>
                <w:b/>
                <w:sz w:val="16"/>
                <w:szCs w:val="16"/>
              </w:rPr>
            </w:pPr>
          </w:p>
          <w:p w14:paraId="42155A44" w14:textId="77777777" w:rsidR="00A1205E" w:rsidRPr="00884A71" w:rsidRDefault="00A1205E" w:rsidP="001000BC">
            <w:pPr>
              <w:adjustRightInd w:val="0"/>
              <w:snapToGrid w:val="0"/>
              <w:spacing w:after="0" w:line="240" w:lineRule="auto"/>
              <w:jc w:val="both"/>
              <w:rPr>
                <w:rFonts w:ascii="Times New Roman" w:hAnsi="Times New Roman" w:cs="Times New Roman"/>
                <w:b/>
                <w:sz w:val="16"/>
                <w:szCs w:val="16"/>
              </w:rPr>
            </w:pPr>
          </w:p>
          <w:p w14:paraId="4834AE75"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Країна</w:t>
            </w:r>
          </w:p>
        </w:tc>
        <w:tc>
          <w:tcPr>
            <w:tcW w:w="798" w:type="pct"/>
            <w:tcBorders>
              <w:left w:val="single" w:sz="4" w:space="0" w:color="000000"/>
              <w:bottom w:val="single" w:sz="4" w:space="0" w:color="000000"/>
              <w:right w:val="single" w:sz="4" w:space="0" w:color="000000"/>
            </w:tcBorders>
            <w:shd w:val="clear" w:color="auto" w:fill="007B3A"/>
            <w:textDirection w:val="btLr"/>
          </w:tcPr>
          <w:p w14:paraId="28158A7C"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Рейтинг ведення</w:t>
            </w:r>
          </w:p>
        </w:tc>
        <w:tc>
          <w:tcPr>
            <w:tcW w:w="449" w:type="pct"/>
            <w:tcBorders>
              <w:left w:val="single" w:sz="4" w:space="0" w:color="000000"/>
              <w:bottom w:val="single" w:sz="4" w:space="0" w:color="000000"/>
              <w:right w:val="single" w:sz="4" w:space="0" w:color="000000"/>
            </w:tcBorders>
            <w:shd w:val="clear" w:color="auto" w:fill="007B3A"/>
            <w:textDirection w:val="btLr"/>
          </w:tcPr>
          <w:p w14:paraId="5D6E7190"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Реєстрація</w:t>
            </w:r>
          </w:p>
        </w:tc>
        <w:tc>
          <w:tcPr>
            <w:tcW w:w="364" w:type="pct"/>
            <w:tcBorders>
              <w:left w:val="single" w:sz="4" w:space="0" w:color="000000"/>
              <w:bottom w:val="single" w:sz="4" w:space="0" w:color="000000"/>
              <w:right w:val="single" w:sz="4" w:space="0" w:color="000000"/>
            </w:tcBorders>
            <w:shd w:val="clear" w:color="auto" w:fill="007B3A"/>
            <w:textDirection w:val="btLr"/>
          </w:tcPr>
          <w:p w14:paraId="71079C31" w14:textId="77777777" w:rsidR="00A1205E" w:rsidRPr="00884A71" w:rsidRDefault="00A1205E" w:rsidP="001000BC">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Отримання</w:t>
            </w:r>
            <w:r>
              <w:rPr>
                <w:rFonts w:ascii="Times New Roman" w:hAnsi="Times New Roman" w:cs="Times New Roman"/>
                <w:sz w:val="16"/>
                <w:szCs w:val="16"/>
              </w:rPr>
              <w:t xml:space="preserve"> прав на </w:t>
            </w:r>
            <w:r w:rsidRPr="00884A71">
              <w:rPr>
                <w:rFonts w:ascii="Times New Roman" w:hAnsi="Times New Roman" w:cs="Times New Roman"/>
                <w:sz w:val="16"/>
                <w:szCs w:val="16"/>
              </w:rPr>
              <w:t xml:space="preserve"> будівництво</w:t>
            </w:r>
          </w:p>
        </w:tc>
        <w:tc>
          <w:tcPr>
            <w:tcW w:w="323" w:type="pct"/>
            <w:tcBorders>
              <w:left w:val="single" w:sz="4" w:space="0" w:color="000000"/>
              <w:bottom w:val="single" w:sz="4" w:space="0" w:color="000000"/>
              <w:right w:val="single" w:sz="4" w:space="0" w:color="000000"/>
            </w:tcBorders>
            <w:shd w:val="clear" w:color="auto" w:fill="007B3A"/>
            <w:textDirection w:val="btLr"/>
          </w:tcPr>
          <w:p w14:paraId="4BFFFFCF"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Реєстрація</w:t>
            </w:r>
          </w:p>
        </w:tc>
        <w:tc>
          <w:tcPr>
            <w:tcW w:w="455" w:type="pct"/>
            <w:tcBorders>
              <w:left w:val="single" w:sz="4" w:space="0" w:color="000000"/>
              <w:bottom w:val="single" w:sz="4" w:space="0" w:color="000000"/>
              <w:right w:val="single" w:sz="4" w:space="0" w:color="000000"/>
            </w:tcBorders>
            <w:shd w:val="clear" w:color="auto" w:fill="007B3A"/>
            <w:textDirection w:val="btLr"/>
          </w:tcPr>
          <w:p w14:paraId="3705735A"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Кредитування</w:t>
            </w:r>
          </w:p>
        </w:tc>
        <w:tc>
          <w:tcPr>
            <w:tcW w:w="323" w:type="pct"/>
            <w:tcBorders>
              <w:left w:val="single" w:sz="4" w:space="0" w:color="000000"/>
              <w:bottom w:val="single" w:sz="4" w:space="0" w:color="000000"/>
              <w:right w:val="single" w:sz="4" w:space="0" w:color="000000"/>
            </w:tcBorders>
            <w:shd w:val="clear" w:color="auto" w:fill="007B3A"/>
            <w:textDirection w:val="btLr"/>
          </w:tcPr>
          <w:p w14:paraId="672724A7"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Захист інвесторів</w:t>
            </w:r>
          </w:p>
        </w:tc>
        <w:tc>
          <w:tcPr>
            <w:tcW w:w="323" w:type="pct"/>
            <w:tcBorders>
              <w:left w:val="single" w:sz="4" w:space="0" w:color="000000"/>
              <w:bottom w:val="single" w:sz="4" w:space="0" w:color="000000"/>
              <w:right w:val="single" w:sz="4" w:space="0" w:color="000000"/>
            </w:tcBorders>
            <w:shd w:val="clear" w:color="auto" w:fill="007B3A"/>
            <w:textDirection w:val="btLr"/>
          </w:tcPr>
          <w:p w14:paraId="63B5F627"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Оподаткування</w:t>
            </w:r>
          </w:p>
        </w:tc>
        <w:tc>
          <w:tcPr>
            <w:tcW w:w="588" w:type="pct"/>
            <w:tcBorders>
              <w:left w:val="single" w:sz="4" w:space="0" w:color="000000"/>
              <w:bottom w:val="single" w:sz="4" w:space="0" w:color="000000"/>
              <w:right w:val="single" w:sz="4" w:space="0" w:color="000000"/>
            </w:tcBorders>
            <w:shd w:val="clear" w:color="auto" w:fill="007B3A"/>
            <w:textDirection w:val="btLr"/>
          </w:tcPr>
          <w:p w14:paraId="56B12E0D"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Міжнародна</w:t>
            </w:r>
            <w:r>
              <w:rPr>
                <w:rFonts w:ascii="Times New Roman" w:hAnsi="Times New Roman" w:cs="Times New Roman"/>
                <w:sz w:val="16"/>
                <w:szCs w:val="16"/>
              </w:rPr>
              <w:t xml:space="preserve"> діяльність</w:t>
            </w:r>
          </w:p>
        </w:tc>
        <w:tc>
          <w:tcPr>
            <w:tcW w:w="512" w:type="pct"/>
            <w:tcBorders>
              <w:left w:val="single" w:sz="4" w:space="0" w:color="000000"/>
              <w:bottom w:val="single" w:sz="4" w:space="0" w:color="000000"/>
              <w:right w:val="single" w:sz="4" w:space="0" w:color="000000"/>
            </w:tcBorders>
            <w:shd w:val="clear" w:color="auto" w:fill="007B3A"/>
            <w:textDirection w:val="btLr"/>
          </w:tcPr>
          <w:p w14:paraId="66409A89"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Забезпечення контрактів</w:t>
            </w:r>
          </w:p>
        </w:tc>
      </w:tr>
      <w:tr w:rsidR="00A1205E" w:rsidRPr="00884A71" w14:paraId="24D84365" w14:textId="77777777" w:rsidTr="001000BC">
        <w:trPr>
          <w:trHeight w:val="336"/>
        </w:trPr>
        <w:tc>
          <w:tcPr>
            <w:tcW w:w="867" w:type="pct"/>
            <w:tcBorders>
              <w:top w:val="single" w:sz="4" w:space="0" w:color="000000"/>
              <w:bottom w:val="single" w:sz="4" w:space="0" w:color="000000"/>
              <w:right w:val="single" w:sz="4" w:space="0" w:color="000000"/>
            </w:tcBorders>
          </w:tcPr>
          <w:p w14:paraId="5053BCF3"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Сінгапур</w:t>
            </w:r>
          </w:p>
        </w:tc>
        <w:tc>
          <w:tcPr>
            <w:tcW w:w="798" w:type="pct"/>
            <w:tcBorders>
              <w:top w:val="single" w:sz="4" w:space="0" w:color="000000"/>
              <w:left w:val="single" w:sz="4" w:space="0" w:color="000000"/>
              <w:bottom w:val="single" w:sz="4" w:space="0" w:color="000000"/>
              <w:right w:val="single" w:sz="4" w:space="0" w:color="000000"/>
            </w:tcBorders>
          </w:tcPr>
          <w:p w14:paraId="3784894C"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 (1; 1)</w:t>
            </w:r>
          </w:p>
        </w:tc>
        <w:tc>
          <w:tcPr>
            <w:tcW w:w="449" w:type="pct"/>
            <w:tcBorders>
              <w:top w:val="single" w:sz="4" w:space="0" w:color="000000"/>
              <w:left w:val="single" w:sz="4" w:space="0" w:color="000000"/>
              <w:bottom w:val="single" w:sz="4" w:space="0" w:color="000000"/>
              <w:right w:val="single" w:sz="4" w:space="0" w:color="000000"/>
            </w:tcBorders>
          </w:tcPr>
          <w:p w14:paraId="72940C56" w14:textId="77777777" w:rsidR="00A1205E" w:rsidRPr="00884A71" w:rsidRDefault="00A1205E" w:rsidP="001000BC">
            <w:pPr>
              <w:adjustRightInd w:val="0"/>
              <w:snapToGrid w:val="0"/>
              <w:spacing w:after="0" w:line="240" w:lineRule="auto"/>
              <w:jc w:val="both"/>
              <w:rPr>
                <w:rFonts w:ascii="Times New Roman" w:hAnsi="Times New Roman" w:cs="Times New Roman"/>
                <w:b/>
                <w:sz w:val="16"/>
                <w:szCs w:val="16"/>
              </w:rPr>
            </w:pPr>
            <w:r w:rsidRPr="00884A71">
              <w:rPr>
                <w:rFonts w:ascii="Times New Roman" w:hAnsi="Times New Roman" w:cs="Times New Roman"/>
                <w:b/>
                <w:sz w:val="16"/>
                <w:szCs w:val="16"/>
              </w:rPr>
              <w:t>4</w:t>
            </w:r>
          </w:p>
        </w:tc>
        <w:tc>
          <w:tcPr>
            <w:tcW w:w="364" w:type="pct"/>
            <w:tcBorders>
              <w:top w:val="single" w:sz="4" w:space="0" w:color="000000"/>
              <w:left w:val="single" w:sz="4" w:space="0" w:color="000000"/>
              <w:bottom w:val="single" w:sz="4" w:space="0" w:color="000000"/>
              <w:right w:val="single" w:sz="4" w:space="0" w:color="000000"/>
            </w:tcBorders>
          </w:tcPr>
          <w:p w14:paraId="34AA3661"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2</w:t>
            </w:r>
          </w:p>
        </w:tc>
        <w:tc>
          <w:tcPr>
            <w:tcW w:w="323" w:type="pct"/>
            <w:tcBorders>
              <w:top w:val="single" w:sz="4" w:space="0" w:color="000000"/>
              <w:left w:val="single" w:sz="4" w:space="0" w:color="000000"/>
              <w:bottom w:val="single" w:sz="4" w:space="0" w:color="000000"/>
              <w:right w:val="single" w:sz="4" w:space="0" w:color="000000"/>
            </w:tcBorders>
          </w:tcPr>
          <w:p w14:paraId="00F4F9E3"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36</w:t>
            </w:r>
          </w:p>
        </w:tc>
        <w:tc>
          <w:tcPr>
            <w:tcW w:w="455" w:type="pct"/>
            <w:tcBorders>
              <w:top w:val="single" w:sz="4" w:space="0" w:color="000000"/>
              <w:left w:val="single" w:sz="4" w:space="0" w:color="000000"/>
              <w:bottom w:val="single" w:sz="4" w:space="0" w:color="000000"/>
              <w:right w:val="single" w:sz="4" w:space="0" w:color="000000"/>
            </w:tcBorders>
          </w:tcPr>
          <w:p w14:paraId="51233A5A"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12</w:t>
            </w:r>
          </w:p>
        </w:tc>
        <w:tc>
          <w:tcPr>
            <w:tcW w:w="323" w:type="pct"/>
            <w:tcBorders>
              <w:top w:val="single" w:sz="4" w:space="0" w:color="000000"/>
              <w:left w:val="single" w:sz="4" w:space="0" w:color="000000"/>
              <w:bottom w:val="single" w:sz="4" w:space="0" w:color="000000"/>
              <w:right w:val="single" w:sz="4" w:space="0" w:color="000000"/>
            </w:tcBorders>
          </w:tcPr>
          <w:p w14:paraId="4F827413"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2</w:t>
            </w:r>
          </w:p>
        </w:tc>
        <w:tc>
          <w:tcPr>
            <w:tcW w:w="323" w:type="pct"/>
            <w:tcBorders>
              <w:top w:val="single" w:sz="4" w:space="0" w:color="000000"/>
              <w:left w:val="single" w:sz="4" w:space="0" w:color="000000"/>
              <w:bottom w:val="single" w:sz="4" w:space="0" w:color="000000"/>
              <w:right w:val="single" w:sz="4" w:space="0" w:color="000000"/>
            </w:tcBorders>
          </w:tcPr>
          <w:p w14:paraId="5AABD8FD"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5</w:t>
            </w:r>
          </w:p>
        </w:tc>
        <w:tc>
          <w:tcPr>
            <w:tcW w:w="588" w:type="pct"/>
            <w:tcBorders>
              <w:top w:val="single" w:sz="4" w:space="0" w:color="000000"/>
              <w:left w:val="single" w:sz="4" w:space="0" w:color="000000"/>
              <w:bottom w:val="single" w:sz="4" w:space="0" w:color="000000"/>
              <w:right w:val="single" w:sz="4" w:space="0" w:color="000000"/>
            </w:tcBorders>
          </w:tcPr>
          <w:p w14:paraId="0DB044D2"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w:t>
            </w:r>
          </w:p>
        </w:tc>
        <w:tc>
          <w:tcPr>
            <w:tcW w:w="512" w:type="pct"/>
            <w:tcBorders>
              <w:top w:val="single" w:sz="4" w:space="0" w:color="000000"/>
              <w:left w:val="single" w:sz="4" w:space="0" w:color="000000"/>
              <w:bottom w:val="single" w:sz="4" w:space="0" w:color="000000"/>
              <w:right w:val="single" w:sz="4" w:space="0" w:color="000000"/>
            </w:tcBorders>
          </w:tcPr>
          <w:p w14:paraId="3E4CD6C6"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12</w:t>
            </w:r>
          </w:p>
        </w:tc>
      </w:tr>
      <w:tr w:rsidR="00A1205E" w:rsidRPr="00884A71" w14:paraId="282E173D" w14:textId="77777777" w:rsidTr="001000BC">
        <w:trPr>
          <w:trHeight w:val="336"/>
        </w:trPr>
        <w:tc>
          <w:tcPr>
            <w:tcW w:w="867" w:type="pct"/>
            <w:tcBorders>
              <w:top w:val="single" w:sz="4" w:space="0" w:color="000000"/>
              <w:bottom w:val="single" w:sz="4" w:space="0" w:color="000000"/>
              <w:right w:val="single" w:sz="4" w:space="0" w:color="000000"/>
            </w:tcBorders>
          </w:tcPr>
          <w:p w14:paraId="179E4EE3"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Гонконг</w:t>
            </w:r>
          </w:p>
        </w:tc>
        <w:tc>
          <w:tcPr>
            <w:tcW w:w="798" w:type="pct"/>
            <w:tcBorders>
              <w:top w:val="single" w:sz="4" w:space="0" w:color="000000"/>
              <w:left w:val="single" w:sz="4" w:space="0" w:color="000000"/>
              <w:bottom w:val="single" w:sz="4" w:space="0" w:color="000000"/>
              <w:right w:val="single" w:sz="4" w:space="0" w:color="000000"/>
            </w:tcBorders>
          </w:tcPr>
          <w:p w14:paraId="2F452219"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2 (2; 2)</w:t>
            </w:r>
          </w:p>
        </w:tc>
        <w:tc>
          <w:tcPr>
            <w:tcW w:w="449" w:type="pct"/>
            <w:tcBorders>
              <w:top w:val="single" w:sz="4" w:space="0" w:color="000000"/>
              <w:left w:val="single" w:sz="4" w:space="0" w:color="000000"/>
              <w:bottom w:val="single" w:sz="4" w:space="0" w:color="000000"/>
              <w:right w:val="single" w:sz="4" w:space="0" w:color="000000"/>
            </w:tcBorders>
          </w:tcPr>
          <w:p w14:paraId="0A39E570" w14:textId="77777777" w:rsidR="00A1205E" w:rsidRPr="00884A71" w:rsidRDefault="00A1205E" w:rsidP="001000BC">
            <w:pPr>
              <w:adjustRightInd w:val="0"/>
              <w:snapToGrid w:val="0"/>
              <w:spacing w:after="0" w:line="240" w:lineRule="auto"/>
              <w:jc w:val="both"/>
              <w:rPr>
                <w:rFonts w:ascii="Times New Roman" w:hAnsi="Times New Roman" w:cs="Times New Roman"/>
                <w:b/>
                <w:sz w:val="16"/>
                <w:szCs w:val="16"/>
              </w:rPr>
            </w:pPr>
            <w:r w:rsidRPr="00884A71">
              <w:rPr>
                <w:rFonts w:ascii="Times New Roman" w:hAnsi="Times New Roman" w:cs="Times New Roman"/>
                <w:b/>
                <w:sz w:val="16"/>
                <w:szCs w:val="16"/>
              </w:rPr>
              <w:t>6</w:t>
            </w:r>
          </w:p>
        </w:tc>
        <w:tc>
          <w:tcPr>
            <w:tcW w:w="364" w:type="pct"/>
            <w:tcBorders>
              <w:top w:val="single" w:sz="4" w:space="0" w:color="000000"/>
              <w:left w:val="single" w:sz="4" w:space="0" w:color="000000"/>
              <w:bottom w:val="single" w:sz="4" w:space="0" w:color="000000"/>
              <w:right w:val="single" w:sz="4" w:space="0" w:color="000000"/>
            </w:tcBorders>
          </w:tcPr>
          <w:p w14:paraId="6A23B0AF"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w:t>
            </w:r>
          </w:p>
        </w:tc>
        <w:tc>
          <w:tcPr>
            <w:tcW w:w="323" w:type="pct"/>
            <w:tcBorders>
              <w:top w:val="single" w:sz="4" w:space="0" w:color="000000"/>
              <w:left w:val="single" w:sz="4" w:space="0" w:color="000000"/>
              <w:bottom w:val="single" w:sz="4" w:space="0" w:color="000000"/>
              <w:right w:val="single" w:sz="4" w:space="0" w:color="000000"/>
            </w:tcBorders>
          </w:tcPr>
          <w:p w14:paraId="763E0FD9"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60</w:t>
            </w:r>
          </w:p>
        </w:tc>
        <w:tc>
          <w:tcPr>
            <w:tcW w:w="455" w:type="pct"/>
            <w:tcBorders>
              <w:top w:val="single" w:sz="4" w:space="0" w:color="000000"/>
              <w:left w:val="single" w:sz="4" w:space="0" w:color="000000"/>
              <w:bottom w:val="single" w:sz="4" w:space="0" w:color="000000"/>
              <w:right w:val="single" w:sz="4" w:space="0" w:color="000000"/>
            </w:tcBorders>
          </w:tcPr>
          <w:p w14:paraId="45F2F5B6"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4</w:t>
            </w:r>
          </w:p>
        </w:tc>
        <w:tc>
          <w:tcPr>
            <w:tcW w:w="323" w:type="pct"/>
            <w:tcBorders>
              <w:top w:val="single" w:sz="4" w:space="0" w:color="000000"/>
              <w:left w:val="single" w:sz="4" w:space="0" w:color="000000"/>
              <w:bottom w:val="single" w:sz="4" w:space="0" w:color="000000"/>
              <w:right w:val="single" w:sz="4" w:space="0" w:color="000000"/>
            </w:tcBorders>
          </w:tcPr>
          <w:p w14:paraId="14C926F4"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3</w:t>
            </w:r>
          </w:p>
        </w:tc>
        <w:tc>
          <w:tcPr>
            <w:tcW w:w="323" w:type="pct"/>
            <w:tcBorders>
              <w:top w:val="single" w:sz="4" w:space="0" w:color="000000"/>
              <w:left w:val="single" w:sz="4" w:space="0" w:color="000000"/>
              <w:bottom w:val="single" w:sz="4" w:space="0" w:color="000000"/>
              <w:right w:val="single" w:sz="4" w:space="0" w:color="000000"/>
            </w:tcBorders>
          </w:tcPr>
          <w:p w14:paraId="03E81E55"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4</w:t>
            </w:r>
          </w:p>
        </w:tc>
        <w:tc>
          <w:tcPr>
            <w:tcW w:w="588" w:type="pct"/>
            <w:tcBorders>
              <w:top w:val="single" w:sz="4" w:space="0" w:color="000000"/>
              <w:left w:val="single" w:sz="4" w:space="0" w:color="000000"/>
              <w:bottom w:val="single" w:sz="4" w:space="0" w:color="000000"/>
              <w:right w:val="single" w:sz="4" w:space="0" w:color="000000"/>
            </w:tcBorders>
          </w:tcPr>
          <w:p w14:paraId="7AE0657D"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2</w:t>
            </w:r>
          </w:p>
        </w:tc>
        <w:tc>
          <w:tcPr>
            <w:tcW w:w="512" w:type="pct"/>
            <w:tcBorders>
              <w:top w:val="single" w:sz="4" w:space="0" w:color="000000"/>
              <w:left w:val="single" w:sz="4" w:space="0" w:color="000000"/>
              <w:bottom w:val="single" w:sz="4" w:space="0" w:color="000000"/>
              <w:right w:val="single" w:sz="4" w:space="0" w:color="000000"/>
            </w:tcBorders>
          </w:tcPr>
          <w:p w14:paraId="0DA2589C"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10</w:t>
            </w:r>
          </w:p>
        </w:tc>
      </w:tr>
      <w:tr w:rsidR="00A1205E" w:rsidRPr="00884A71" w14:paraId="2F978FB0" w14:textId="77777777" w:rsidTr="001000BC">
        <w:trPr>
          <w:trHeight w:val="336"/>
        </w:trPr>
        <w:tc>
          <w:tcPr>
            <w:tcW w:w="867" w:type="pct"/>
            <w:tcBorders>
              <w:top w:val="single" w:sz="4" w:space="0" w:color="000000"/>
              <w:bottom w:val="single" w:sz="4" w:space="0" w:color="000000"/>
              <w:right w:val="single" w:sz="4" w:space="0" w:color="000000"/>
            </w:tcBorders>
          </w:tcPr>
          <w:p w14:paraId="0B3E4C57"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Нова Зеландія</w:t>
            </w:r>
          </w:p>
        </w:tc>
        <w:tc>
          <w:tcPr>
            <w:tcW w:w="798" w:type="pct"/>
            <w:tcBorders>
              <w:top w:val="single" w:sz="4" w:space="0" w:color="000000"/>
              <w:left w:val="single" w:sz="4" w:space="0" w:color="000000"/>
              <w:bottom w:val="single" w:sz="4" w:space="0" w:color="000000"/>
              <w:right w:val="single" w:sz="4" w:space="0" w:color="000000"/>
            </w:tcBorders>
          </w:tcPr>
          <w:p w14:paraId="70035C86"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3 (3; 3)</w:t>
            </w:r>
          </w:p>
        </w:tc>
        <w:tc>
          <w:tcPr>
            <w:tcW w:w="449" w:type="pct"/>
            <w:tcBorders>
              <w:top w:val="single" w:sz="4" w:space="0" w:color="000000"/>
              <w:left w:val="single" w:sz="4" w:space="0" w:color="000000"/>
              <w:bottom w:val="single" w:sz="4" w:space="0" w:color="000000"/>
              <w:right w:val="single" w:sz="4" w:space="0" w:color="000000"/>
            </w:tcBorders>
          </w:tcPr>
          <w:p w14:paraId="4C01865A" w14:textId="77777777" w:rsidR="00A1205E" w:rsidRPr="00884A71" w:rsidRDefault="00A1205E" w:rsidP="001000BC">
            <w:pPr>
              <w:adjustRightInd w:val="0"/>
              <w:snapToGrid w:val="0"/>
              <w:spacing w:after="0" w:line="240" w:lineRule="auto"/>
              <w:jc w:val="both"/>
              <w:rPr>
                <w:rFonts w:ascii="Times New Roman" w:hAnsi="Times New Roman" w:cs="Times New Roman"/>
                <w:b/>
                <w:sz w:val="16"/>
                <w:szCs w:val="16"/>
              </w:rPr>
            </w:pPr>
            <w:r w:rsidRPr="00884A71">
              <w:rPr>
                <w:rFonts w:ascii="Times New Roman" w:hAnsi="Times New Roman" w:cs="Times New Roman"/>
                <w:b/>
                <w:sz w:val="16"/>
                <w:szCs w:val="16"/>
              </w:rPr>
              <w:t>1</w:t>
            </w:r>
          </w:p>
        </w:tc>
        <w:tc>
          <w:tcPr>
            <w:tcW w:w="364" w:type="pct"/>
            <w:tcBorders>
              <w:top w:val="single" w:sz="4" w:space="0" w:color="000000"/>
              <w:left w:val="single" w:sz="4" w:space="0" w:color="000000"/>
              <w:bottom w:val="single" w:sz="4" w:space="0" w:color="000000"/>
              <w:right w:val="single" w:sz="4" w:space="0" w:color="000000"/>
            </w:tcBorders>
          </w:tcPr>
          <w:p w14:paraId="718C0654"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6</w:t>
            </w:r>
          </w:p>
        </w:tc>
        <w:tc>
          <w:tcPr>
            <w:tcW w:w="323" w:type="pct"/>
            <w:tcBorders>
              <w:top w:val="single" w:sz="4" w:space="0" w:color="000000"/>
              <w:left w:val="single" w:sz="4" w:space="0" w:color="000000"/>
              <w:bottom w:val="single" w:sz="4" w:space="0" w:color="000000"/>
              <w:right w:val="single" w:sz="4" w:space="0" w:color="000000"/>
            </w:tcBorders>
          </w:tcPr>
          <w:p w14:paraId="23DBCA57"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2</w:t>
            </w:r>
          </w:p>
        </w:tc>
        <w:tc>
          <w:tcPr>
            <w:tcW w:w="455" w:type="pct"/>
            <w:tcBorders>
              <w:top w:val="single" w:sz="4" w:space="0" w:color="000000"/>
              <w:left w:val="single" w:sz="4" w:space="0" w:color="000000"/>
              <w:bottom w:val="single" w:sz="4" w:space="0" w:color="000000"/>
              <w:right w:val="single" w:sz="4" w:space="0" w:color="000000"/>
            </w:tcBorders>
          </w:tcPr>
          <w:p w14:paraId="41EE2EF7"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4</w:t>
            </w:r>
          </w:p>
        </w:tc>
        <w:tc>
          <w:tcPr>
            <w:tcW w:w="323" w:type="pct"/>
            <w:tcBorders>
              <w:top w:val="single" w:sz="4" w:space="0" w:color="000000"/>
              <w:left w:val="single" w:sz="4" w:space="0" w:color="000000"/>
              <w:bottom w:val="single" w:sz="4" w:space="0" w:color="000000"/>
              <w:right w:val="single" w:sz="4" w:space="0" w:color="000000"/>
            </w:tcBorders>
          </w:tcPr>
          <w:p w14:paraId="698C9EE2"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w:t>
            </w:r>
          </w:p>
        </w:tc>
        <w:tc>
          <w:tcPr>
            <w:tcW w:w="323" w:type="pct"/>
            <w:tcBorders>
              <w:top w:val="single" w:sz="4" w:space="0" w:color="000000"/>
              <w:left w:val="single" w:sz="4" w:space="0" w:color="000000"/>
              <w:bottom w:val="single" w:sz="4" w:space="0" w:color="000000"/>
              <w:right w:val="single" w:sz="4" w:space="0" w:color="000000"/>
            </w:tcBorders>
          </w:tcPr>
          <w:p w14:paraId="52B8262F"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21</w:t>
            </w:r>
          </w:p>
        </w:tc>
        <w:tc>
          <w:tcPr>
            <w:tcW w:w="588" w:type="pct"/>
            <w:tcBorders>
              <w:top w:val="single" w:sz="4" w:space="0" w:color="000000"/>
              <w:left w:val="single" w:sz="4" w:space="0" w:color="000000"/>
              <w:bottom w:val="single" w:sz="4" w:space="0" w:color="000000"/>
              <w:right w:val="single" w:sz="4" w:space="0" w:color="000000"/>
            </w:tcBorders>
          </w:tcPr>
          <w:p w14:paraId="7D9DA9FE"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25</w:t>
            </w:r>
          </w:p>
        </w:tc>
        <w:tc>
          <w:tcPr>
            <w:tcW w:w="512" w:type="pct"/>
            <w:tcBorders>
              <w:top w:val="single" w:sz="4" w:space="0" w:color="000000"/>
              <w:left w:val="single" w:sz="4" w:space="0" w:color="000000"/>
              <w:bottom w:val="single" w:sz="4" w:space="0" w:color="000000"/>
              <w:right w:val="single" w:sz="4" w:space="0" w:color="000000"/>
            </w:tcBorders>
          </w:tcPr>
          <w:p w14:paraId="248F7C12"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17</w:t>
            </w:r>
          </w:p>
        </w:tc>
      </w:tr>
      <w:tr w:rsidR="00A1205E" w:rsidRPr="00884A71" w14:paraId="2C3EE34F" w14:textId="77777777" w:rsidTr="001000BC">
        <w:trPr>
          <w:trHeight w:val="336"/>
        </w:trPr>
        <w:tc>
          <w:tcPr>
            <w:tcW w:w="867" w:type="pct"/>
            <w:tcBorders>
              <w:top w:val="single" w:sz="4" w:space="0" w:color="000000"/>
              <w:bottom w:val="single" w:sz="4" w:space="0" w:color="000000"/>
              <w:right w:val="single" w:sz="4" w:space="0" w:color="000000"/>
            </w:tcBorders>
          </w:tcPr>
          <w:p w14:paraId="647021E9"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США</w:t>
            </w:r>
          </w:p>
        </w:tc>
        <w:tc>
          <w:tcPr>
            <w:tcW w:w="798" w:type="pct"/>
            <w:tcBorders>
              <w:top w:val="single" w:sz="4" w:space="0" w:color="000000"/>
              <w:left w:val="single" w:sz="4" w:space="0" w:color="000000"/>
              <w:bottom w:val="single" w:sz="4" w:space="0" w:color="000000"/>
              <w:right w:val="single" w:sz="4" w:space="0" w:color="000000"/>
            </w:tcBorders>
          </w:tcPr>
          <w:p w14:paraId="3CD1D2B8"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4 (4; 4)</w:t>
            </w:r>
          </w:p>
        </w:tc>
        <w:tc>
          <w:tcPr>
            <w:tcW w:w="449" w:type="pct"/>
            <w:tcBorders>
              <w:top w:val="single" w:sz="4" w:space="0" w:color="000000"/>
              <w:left w:val="single" w:sz="4" w:space="0" w:color="000000"/>
              <w:bottom w:val="single" w:sz="4" w:space="0" w:color="000000"/>
              <w:right w:val="single" w:sz="4" w:space="0" w:color="000000"/>
            </w:tcBorders>
          </w:tcPr>
          <w:p w14:paraId="588DA5F9" w14:textId="77777777" w:rsidR="00A1205E" w:rsidRPr="00884A71" w:rsidRDefault="00A1205E" w:rsidP="001000BC">
            <w:pPr>
              <w:adjustRightInd w:val="0"/>
              <w:snapToGrid w:val="0"/>
              <w:spacing w:after="0" w:line="240" w:lineRule="auto"/>
              <w:jc w:val="both"/>
              <w:rPr>
                <w:rFonts w:ascii="Times New Roman" w:hAnsi="Times New Roman" w:cs="Times New Roman"/>
                <w:b/>
                <w:sz w:val="16"/>
                <w:szCs w:val="16"/>
              </w:rPr>
            </w:pPr>
            <w:r w:rsidRPr="00884A71">
              <w:rPr>
                <w:rFonts w:ascii="Times New Roman" w:hAnsi="Times New Roman" w:cs="Times New Roman"/>
                <w:b/>
                <w:sz w:val="16"/>
                <w:szCs w:val="16"/>
              </w:rPr>
              <w:t>13</w:t>
            </w:r>
          </w:p>
        </w:tc>
        <w:tc>
          <w:tcPr>
            <w:tcW w:w="364" w:type="pct"/>
            <w:tcBorders>
              <w:top w:val="single" w:sz="4" w:space="0" w:color="000000"/>
              <w:left w:val="single" w:sz="4" w:space="0" w:color="000000"/>
              <w:bottom w:val="single" w:sz="4" w:space="0" w:color="000000"/>
              <w:right w:val="single" w:sz="4" w:space="0" w:color="000000"/>
            </w:tcBorders>
          </w:tcPr>
          <w:p w14:paraId="4D252616"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17</w:t>
            </w:r>
          </w:p>
        </w:tc>
        <w:tc>
          <w:tcPr>
            <w:tcW w:w="323" w:type="pct"/>
            <w:tcBorders>
              <w:top w:val="single" w:sz="4" w:space="0" w:color="000000"/>
              <w:left w:val="single" w:sz="4" w:space="0" w:color="000000"/>
              <w:bottom w:val="single" w:sz="4" w:space="0" w:color="000000"/>
              <w:right w:val="single" w:sz="4" w:space="0" w:color="000000"/>
            </w:tcBorders>
          </w:tcPr>
          <w:p w14:paraId="2532F1A9"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25</w:t>
            </w:r>
          </w:p>
        </w:tc>
        <w:tc>
          <w:tcPr>
            <w:tcW w:w="455" w:type="pct"/>
            <w:tcBorders>
              <w:top w:val="single" w:sz="4" w:space="0" w:color="000000"/>
              <w:left w:val="single" w:sz="4" w:space="0" w:color="000000"/>
              <w:bottom w:val="single" w:sz="4" w:space="0" w:color="000000"/>
              <w:right w:val="single" w:sz="4" w:space="0" w:color="000000"/>
            </w:tcBorders>
          </w:tcPr>
          <w:p w14:paraId="2E6DA7CD"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4</w:t>
            </w:r>
          </w:p>
        </w:tc>
        <w:tc>
          <w:tcPr>
            <w:tcW w:w="323" w:type="pct"/>
            <w:tcBorders>
              <w:top w:val="single" w:sz="4" w:space="0" w:color="000000"/>
              <w:left w:val="single" w:sz="4" w:space="0" w:color="000000"/>
              <w:bottom w:val="single" w:sz="4" w:space="0" w:color="000000"/>
              <w:right w:val="single" w:sz="4" w:space="0" w:color="000000"/>
            </w:tcBorders>
          </w:tcPr>
          <w:p w14:paraId="3FCB4149"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6</w:t>
            </w:r>
          </w:p>
        </w:tc>
        <w:tc>
          <w:tcPr>
            <w:tcW w:w="323" w:type="pct"/>
            <w:tcBorders>
              <w:top w:val="single" w:sz="4" w:space="0" w:color="000000"/>
              <w:left w:val="single" w:sz="4" w:space="0" w:color="000000"/>
              <w:bottom w:val="single" w:sz="4" w:space="0" w:color="000000"/>
              <w:right w:val="single" w:sz="4" w:space="0" w:color="000000"/>
            </w:tcBorders>
          </w:tcPr>
          <w:p w14:paraId="739450E1"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69</w:t>
            </w:r>
          </w:p>
        </w:tc>
        <w:tc>
          <w:tcPr>
            <w:tcW w:w="588" w:type="pct"/>
            <w:tcBorders>
              <w:top w:val="single" w:sz="4" w:space="0" w:color="000000"/>
              <w:left w:val="single" w:sz="4" w:space="0" w:color="000000"/>
              <w:bottom w:val="single" w:sz="4" w:space="0" w:color="000000"/>
              <w:right w:val="single" w:sz="4" w:space="0" w:color="000000"/>
            </w:tcBorders>
          </w:tcPr>
          <w:p w14:paraId="1BEFACE5"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22</w:t>
            </w:r>
          </w:p>
        </w:tc>
        <w:tc>
          <w:tcPr>
            <w:tcW w:w="512" w:type="pct"/>
            <w:tcBorders>
              <w:top w:val="single" w:sz="4" w:space="0" w:color="000000"/>
              <w:left w:val="single" w:sz="4" w:space="0" w:color="000000"/>
              <w:bottom w:val="single" w:sz="4" w:space="0" w:color="000000"/>
              <w:right w:val="single" w:sz="4" w:space="0" w:color="000000"/>
            </w:tcBorders>
          </w:tcPr>
          <w:p w14:paraId="54C8890F"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6</w:t>
            </w:r>
          </w:p>
        </w:tc>
      </w:tr>
      <w:tr w:rsidR="00A1205E" w:rsidRPr="00884A71" w14:paraId="7A9FBA2C" w14:textId="77777777" w:rsidTr="001000BC">
        <w:trPr>
          <w:trHeight w:val="336"/>
        </w:trPr>
        <w:tc>
          <w:tcPr>
            <w:tcW w:w="867" w:type="pct"/>
            <w:tcBorders>
              <w:top w:val="single" w:sz="4" w:space="0" w:color="000000"/>
              <w:bottom w:val="single" w:sz="4" w:space="0" w:color="000000"/>
              <w:right w:val="single" w:sz="4" w:space="0" w:color="000000"/>
            </w:tcBorders>
          </w:tcPr>
          <w:p w14:paraId="03A325E5"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Данія</w:t>
            </w:r>
          </w:p>
        </w:tc>
        <w:tc>
          <w:tcPr>
            <w:tcW w:w="798" w:type="pct"/>
            <w:tcBorders>
              <w:top w:val="single" w:sz="4" w:space="0" w:color="000000"/>
              <w:left w:val="single" w:sz="4" w:space="0" w:color="000000"/>
              <w:bottom w:val="single" w:sz="4" w:space="0" w:color="000000"/>
              <w:right w:val="single" w:sz="4" w:space="0" w:color="000000"/>
            </w:tcBorders>
          </w:tcPr>
          <w:p w14:paraId="24F16DA7"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5 (5; 5)</w:t>
            </w:r>
          </w:p>
        </w:tc>
        <w:tc>
          <w:tcPr>
            <w:tcW w:w="449" w:type="pct"/>
            <w:tcBorders>
              <w:top w:val="single" w:sz="4" w:space="0" w:color="000000"/>
              <w:left w:val="single" w:sz="4" w:space="0" w:color="000000"/>
              <w:bottom w:val="single" w:sz="4" w:space="0" w:color="000000"/>
              <w:right w:val="single" w:sz="4" w:space="0" w:color="000000"/>
            </w:tcBorders>
          </w:tcPr>
          <w:p w14:paraId="5D0860A1" w14:textId="77777777" w:rsidR="00A1205E" w:rsidRPr="00884A71" w:rsidRDefault="00A1205E" w:rsidP="001000BC">
            <w:pPr>
              <w:adjustRightInd w:val="0"/>
              <w:snapToGrid w:val="0"/>
              <w:spacing w:after="0" w:line="240" w:lineRule="auto"/>
              <w:jc w:val="both"/>
              <w:rPr>
                <w:rFonts w:ascii="Times New Roman" w:hAnsi="Times New Roman" w:cs="Times New Roman"/>
                <w:b/>
                <w:sz w:val="16"/>
                <w:szCs w:val="16"/>
              </w:rPr>
            </w:pPr>
            <w:r w:rsidRPr="00884A71">
              <w:rPr>
                <w:rFonts w:ascii="Times New Roman" w:hAnsi="Times New Roman" w:cs="Times New Roman"/>
                <w:b/>
                <w:sz w:val="16"/>
                <w:szCs w:val="16"/>
              </w:rPr>
              <w:t>33</w:t>
            </w:r>
          </w:p>
        </w:tc>
        <w:tc>
          <w:tcPr>
            <w:tcW w:w="364" w:type="pct"/>
            <w:tcBorders>
              <w:top w:val="single" w:sz="4" w:space="0" w:color="000000"/>
              <w:left w:val="single" w:sz="4" w:space="0" w:color="000000"/>
              <w:bottom w:val="single" w:sz="4" w:space="0" w:color="000000"/>
              <w:right w:val="single" w:sz="4" w:space="0" w:color="000000"/>
            </w:tcBorders>
          </w:tcPr>
          <w:p w14:paraId="256FECD6"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8</w:t>
            </w:r>
          </w:p>
        </w:tc>
        <w:tc>
          <w:tcPr>
            <w:tcW w:w="323" w:type="pct"/>
            <w:tcBorders>
              <w:top w:val="single" w:sz="4" w:space="0" w:color="000000"/>
              <w:left w:val="single" w:sz="4" w:space="0" w:color="000000"/>
              <w:bottom w:val="single" w:sz="4" w:space="0" w:color="000000"/>
              <w:right w:val="single" w:sz="4" w:space="0" w:color="000000"/>
            </w:tcBorders>
          </w:tcPr>
          <w:p w14:paraId="51DD9A3E"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6</w:t>
            </w:r>
          </w:p>
        </w:tc>
        <w:tc>
          <w:tcPr>
            <w:tcW w:w="455" w:type="pct"/>
            <w:tcBorders>
              <w:top w:val="single" w:sz="4" w:space="0" w:color="000000"/>
              <w:left w:val="single" w:sz="4" w:space="0" w:color="000000"/>
              <w:bottom w:val="single" w:sz="4" w:space="0" w:color="000000"/>
              <w:right w:val="single" w:sz="4" w:space="0" w:color="000000"/>
            </w:tcBorders>
          </w:tcPr>
          <w:p w14:paraId="3D7327D2"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23</w:t>
            </w:r>
          </w:p>
        </w:tc>
        <w:tc>
          <w:tcPr>
            <w:tcW w:w="323" w:type="pct"/>
            <w:tcBorders>
              <w:top w:val="single" w:sz="4" w:space="0" w:color="000000"/>
              <w:left w:val="single" w:sz="4" w:space="0" w:color="000000"/>
              <w:bottom w:val="single" w:sz="4" w:space="0" w:color="000000"/>
              <w:right w:val="single" w:sz="4" w:space="0" w:color="000000"/>
            </w:tcBorders>
          </w:tcPr>
          <w:p w14:paraId="05CB8154"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32</w:t>
            </w:r>
          </w:p>
        </w:tc>
        <w:tc>
          <w:tcPr>
            <w:tcW w:w="323" w:type="pct"/>
            <w:tcBorders>
              <w:top w:val="single" w:sz="4" w:space="0" w:color="000000"/>
              <w:left w:val="single" w:sz="4" w:space="0" w:color="000000"/>
              <w:bottom w:val="single" w:sz="4" w:space="0" w:color="000000"/>
              <w:right w:val="single" w:sz="4" w:space="0" w:color="000000"/>
            </w:tcBorders>
          </w:tcPr>
          <w:p w14:paraId="6B2D256A"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13</w:t>
            </w:r>
          </w:p>
        </w:tc>
        <w:tc>
          <w:tcPr>
            <w:tcW w:w="588" w:type="pct"/>
            <w:tcBorders>
              <w:top w:val="single" w:sz="4" w:space="0" w:color="000000"/>
              <w:left w:val="single" w:sz="4" w:space="0" w:color="000000"/>
              <w:bottom w:val="single" w:sz="4" w:space="0" w:color="000000"/>
              <w:right w:val="single" w:sz="4" w:space="0" w:color="000000"/>
            </w:tcBorders>
          </w:tcPr>
          <w:p w14:paraId="3E0152A9"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4</w:t>
            </w:r>
          </w:p>
        </w:tc>
        <w:tc>
          <w:tcPr>
            <w:tcW w:w="512" w:type="pct"/>
            <w:tcBorders>
              <w:top w:val="single" w:sz="4" w:space="0" w:color="000000"/>
              <w:left w:val="single" w:sz="4" w:space="0" w:color="000000"/>
              <w:bottom w:val="single" w:sz="4" w:space="0" w:color="000000"/>
              <w:right w:val="single" w:sz="4" w:space="0" w:color="000000"/>
            </w:tcBorders>
          </w:tcPr>
          <w:p w14:paraId="53CD00AC"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34</w:t>
            </w:r>
          </w:p>
        </w:tc>
      </w:tr>
      <w:tr w:rsidR="00A1205E" w:rsidRPr="00884A71" w14:paraId="453A2F37" w14:textId="77777777" w:rsidTr="001000BC">
        <w:trPr>
          <w:trHeight w:val="336"/>
        </w:trPr>
        <w:tc>
          <w:tcPr>
            <w:tcW w:w="867" w:type="pct"/>
            <w:tcBorders>
              <w:top w:val="single" w:sz="4" w:space="0" w:color="000000"/>
              <w:bottom w:val="single" w:sz="4" w:space="0" w:color="000000"/>
              <w:right w:val="single" w:sz="4" w:space="0" w:color="000000"/>
            </w:tcBorders>
          </w:tcPr>
          <w:p w14:paraId="5CB61535"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Грузія</w:t>
            </w:r>
          </w:p>
        </w:tc>
        <w:tc>
          <w:tcPr>
            <w:tcW w:w="798" w:type="pct"/>
            <w:tcBorders>
              <w:top w:val="single" w:sz="4" w:space="0" w:color="000000"/>
              <w:left w:val="single" w:sz="4" w:space="0" w:color="000000"/>
              <w:bottom w:val="single" w:sz="4" w:space="0" w:color="000000"/>
              <w:right w:val="single" w:sz="4" w:space="0" w:color="000000"/>
            </w:tcBorders>
          </w:tcPr>
          <w:p w14:paraId="50586965"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9 (16;17)</w:t>
            </w:r>
          </w:p>
        </w:tc>
        <w:tc>
          <w:tcPr>
            <w:tcW w:w="449" w:type="pct"/>
            <w:tcBorders>
              <w:top w:val="single" w:sz="4" w:space="0" w:color="000000"/>
              <w:left w:val="single" w:sz="4" w:space="0" w:color="000000"/>
              <w:bottom w:val="single" w:sz="4" w:space="0" w:color="000000"/>
              <w:right w:val="single" w:sz="4" w:space="0" w:color="000000"/>
            </w:tcBorders>
          </w:tcPr>
          <w:p w14:paraId="6AD02B0B" w14:textId="77777777" w:rsidR="00A1205E" w:rsidRPr="00884A71" w:rsidRDefault="00A1205E" w:rsidP="001000BC">
            <w:pPr>
              <w:adjustRightInd w:val="0"/>
              <w:snapToGrid w:val="0"/>
              <w:spacing w:after="0" w:line="240" w:lineRule="auto"/>
              <w:jc w:val="both"/>
              <w:rPr>
                <w:rFonts w:ascii="Times New Roman" w:hAnsi="Times New Roman" w:cs="Times New Roman"/>
                <w:b/>
                <w:sz w:val="16"/>
                <w:szCs w:val="16"/>
              </w:rPr>
            </w:pPr>
            <w:r w:rsidRPr="00884A71">
              <w:rPr>
                <w:rFonts w:ascii="Times New Roman" w:hAnsi="Times New Roman" w:cs="Times New Roman"/>
                <w:b/>
                <w:sz w:val="16"/>
                <w:szCs w:val="16"/>
              </w:rPr>
              <w:t>7</w:t>
            </w:r>
          </w:p>
        </w:tc>
        <w:tc>
          <w:tcPr>
            <w:tcW w:w="364" w:type="pct"/>
            <w:tcBorders>
              <w:top w:val="single" w:sz="4" w:space="0" w:color="000000"/>
              <w:left w:val="single" w:sz="4" w:space="0" w:color="000000"/>
              <w:bottom w:val="single" w:sz="4" w:space="0" w:color="000000"/>
              <w:right w:val="single" w:sz="4" w:space="0" w:color="000000"/>
            </w:tcBorders>
          </w:tcPr>
          <w:p w14:paraId="4F103FA7"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3</w:t>
            </w:r>
          </w:p>
        </w:tc>
        <w:tc>
          <w:tcPr>
            <w:tcW w:w="323" w:type="pct"/>
            <w:tcBorders>
              <w:top w:val="single" w:sz="4" w:space="0" w:color="000000"/>
              <w:left w:val="single" w:sz="4" w:space="0" w:color="000000"/>
              <w:bottom w:val="single" w:sz="4" w:space="0" w:color="000000"/>
              <w:right w:val="single" w:sz="4" w:space="0" w:color="000000"/>
            </w:tcBorders>
          </w:tcPr>
          <w:p w14:paraId="3D66D0D8"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w:t>
            </w:r>
          </w:p>
        </w:tc>
        <w:tc>
          <w:tcPr>
            <w:tcW w:w="455" w:type="pct"/>
            <w:tcBorders>
              <w:top w:val="single" w:sz="4" w:space="0" w:color="000000"/>
              <w:left w:val="single" w:sz="4" w:space="0" w:color="000000"/>
              <w:bottom w:val="single" w:sz="4" w:space="0" w:color="000000"/>
              <w:right w:val="single" w:sz="4" w:space="0" w:color="000000"/>
            </w:tcBorders>
          </w:tcPr>
          <w:p w14:paraId="2C66CCE1"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4</w:t>
            </w:r>
          </w:p>
        </w:tc>
        <w:tc>
          <w:tcPr>
            <w:tcW w:w="323" w:type="pct"/>
            <w:tcBorders>
              <w:top w:val="single" w:sz="4" w:space="0" w:color="000000"/>
              <w:left w:val="single" w:sz="4" w:space="0" w:color="000000"/>
              <w:bottom w:val="single" w:sz="4" w:space="0" w:color="000000"/>
              <w:right w:val="single" w:sz="4" w:space="0" w:color="000000"/>
            </w:tcBorders>
          </w:tcPr>
          <w:p w14:paraId="7ECEA87B"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19</w:t>
            </w:r>
          </w:p>
        </w:tc>
        <w:tc>
          <w:tcPr>
            <w:tcW w:w="323" w:type="pct"/>
            <w:tcBorders>
              <w:top w:val="single" w:sz="4" w:space="0" w:color="000000"/>
              <w:left w:val="single" w:sz="4" w:space="0" w:color="000000"/>
              <w:bottom w:val="single" w:sz="4" w:space="0" w:color="000000"/>
              <w:right w:val="single" w:sz="4" w:space="0" w:color="000000"/>
            </w:tcBorders>
          </w:tcPr>
          <w:p w14:paraId="5922613B"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33</w:t>
            </w:r>
          </w:p>
        </w:tc>
        <w:tc>
          <w:tcPr>
            <w:tcW w:w="588" w:type="pct"/>
            <w:tcBorders>
              <w:top w:val="single" w:sz="4" w:space="0" w:color="000000"/>
              <w:left w:val="single" w:sz="4" w:space="0" w:color="000000"/>
              <w:bottom w:val="single" w:sz="4" w:space="0" w:color="000000"/>
              <w:right w:val="single" w:sz="4" w:space="0" w:color="000000"/>
            </w:tcBorders>
          </w:tcPr>
          <w:p w14:paraId="16F8F9AA"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38</w:t>
            </w:r>
          </w:p>
        </w:tc>
        <w:tc>
          <w:tcPr>
            <w:tcW w:w="512" w:type="pct"/>
            <w:tcBorders>
              <w:top w:val="single" w:sz="4" w:space="0" w:color="000000"/>
              <w:left w:val="single" w:sz="4" w:space="0" w:color="000000"/>
              <w:bottom w:val="single" w:sz="4" w:space="0" w:color="000000"/>
              <w:right w:val="single" w:sz="4" w:space="0" w:color="000000"/>
            </w:tcBorders>
          </w:tcPr>
          <w:p w14:paraId="688EB171"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30</w:t>
            </w:r>
          </w:p>
        </w:tc>
      </w:tr>
      <w:tr w:rsidR="00A1205E" w:rsidRPr="00884A71" w14:paraId="78F3B7E7" w14:textId="77777777" w:rsidTr="001000BC">
        <w:trPr>
          <w:trHeight w:val="336"/>
        </w:trPr>
        <w:tc>
          <w:tcPr>
            <w:tcW w:w="867" w:type="pct"/>
            <w:tcBorders>
              <w:top w:val="single" w:sz="4" w:space="0" w:color="000000"/>
              <w:bottom w:val="single" w:sz="4" w:space="0" w:color="000000"/>
              <w:right w:val="single" w:sz="4" w:space="0" w:color="000000"/>
            </w:tcBorders>
          </w:tcPr>
          <w:p w14:paraId="643231C9"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Латвія</w:t>
            </w:r>
          </w:p>
        </w:tc>
        <w:tc>
          <w:tcPr>
            <w:tcW w:w="798" w:type="pct"/>
            <w:tcBorders>
              <w:top w:val="single" w:sz="4" w:space="0" w:color="000000"/>
              <w:left w:val="single" w:sz="4" w:space="0" w:color="000000"/>
              <w:bottom w:val="single" w:sz="4" w:space="0" w:color="000000"/>
              <w:right w:val="single" w:sz="4" w:space="0" w:color="000000"/>
            </w:tcBorders>
          </w:tcPr>
          <w:p w14:paraId="74ACDFEE"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25 (21;31)</w:t>
            </w:r>
          </w:p>
        </w:tc>
        <w:tc>
          <w:tcPr>
            <w:tcW w:w="449" w:type="pct"/>
            <w:tcBorders>
              <w:top w:val="single" w:sz="4" w:space="0" w:color="000000"/>
              <w:left w:val="single" w:sz="4" w:space="0" w:color="000000"/>
              <w:bottom w:val="single" w:sz="4" w:space="0" w:color="000000"/>
              <w:right w:val="single" w:sz="4" w:space="0" w:color="000000"/>
            </w:tcBorders>
          </w:tcPr>
          <w:p w14:paraId="2717AD97" w14:textId="77777777" w:rsidR="00A1205E" w:rsidRPr="00884A71" w:rsidRDefault="00A1205E" w:rsidP="001000BC">
            <w:pPr>
              <w:adjustRightInd w:val="0"/>
              <w:snapToGrid w:val="0"/>
              <w:spacing w:after="0" w:line="240" w:lineRule="auto"/>
              <w:jc w:val="both"/>
              <w:rPr>
                <w:rFonts w:ascii="Times New Roman" w:hAnsi="Times New Roman" w:cs="Times New Roman"/>
                <w:b/>
                <w:sz w:val="16"/>
                <w:szCs w:val="16"/>
              </w:rPr>
            </w:pPr>
            <w:r w:rsidRPr="00884A71">
              <w:rPr>
                <w:rFonts w:ascii="Times New Roman" w:hAnsi="Times New Roman" w:cs="Times New Roman"/>
                <w:b/>
                <w:sz w:val="16"/>
                <w:szCs w:val="16"/>
              </w:rPr>
              <w:t>59</w:t>
            </w:r>
          </w:p>
        </w:tc>
        <w:tc>
          <w:tcPr>
            <w:tcW w:w="364" w:type="pct"/>
            <w:tcBorders>
              <w:top w:val="single" w:sz="4" w:space="0" w:color="000000"/>
              <w:left w:val="single" w:sz="4" w:space="0" w:color="000000"/>
              <w:bottom w:val="single" w:sz="4" w:space="0" w:color="000000"/>
              <w:right w:val="single" w:sz="4" w:space="0" w:color="000000"/>
            </w:tcBorders>
          </w:tcPr>
          <w:p w14:paraId="526B44B5"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113</w:t>
            </w:r>
          </w:p>
        </w:tc>
        <w:tc>
          <w:tcPr>
            <w:tcW w:w="323" w:type="pct"/>
            <w:tcBorders>
              <w:top w:val="single" w:sz="4" w:space="0" w:color="000000"/>
              <w:left w:val="single" w:sz="4" w:space="0" w:color="000000"/>
              <w:bottom w:val="single" w:sz="4" w:space="0" w:color="000000"/>
              <w:right w:val="single" w:sz="4" w:space="0" w:color="000000"/>
            </w:tcBorders>
          </w:tcPr>
          <w:p w14:paraId="7837BF33"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31</w:t>
            </w:r>
          </w:p>
        </w:tc>
        <w:tc>
          <w:tcPr>
            <w:tcW w:w="455" w:type="pct"/>
            <w:tcBorders>
              <w:top w:val="single" w:sz="4" w:space="0" w:color="000000"/>
              <w:left w:val="single" w:sz="4" w:space="0" w:color="000000"/>
              <w:bottom w:val="single" w:sz="4" w:space="0" w:color="000000"/>
              <w:right w:val="single" w:sz="4" w:space="0" w:color="000000"/>
            </w:tcBorders>
          </w:tcPr>
          <w:p w14:paraId="0DAEF381"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4</w:t>
            </w:r>
          </w:p>
        </w:tc>
        <w:tc>
          <w:tcPr>
            <w:tcW w:w="323" w:type="pct"/>
            <w:tcBorders>
              <w:top w:val="single" w:sz="4" w:space="0" w:color="000000"/>
              <w:left w:val="single" w:sz="4" w:space="0" w:color="000000"/>
              <w:bottom w:val="single" w:sz="4" w:space="0" w:color="000000"/>
              <w:right w:val="single" w:sz="4" w:space="0" w:color="000000"/>
            </w:tcBorders>
          </w:tcPr>
          <w:p w14:paraId="0BC0459A"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70</w:t>
            </w:r>
          </w:p>
        </w:tc>
        <w:tc>
          <w:tcPr>
            <w:tcW w:w="323" w:type="pct"/>
            <w:tcBorders>
              <w:top w:val="single" w:sz="4" w:space="0" w:color="000000"/>
              <w:left w:val="single" w:sz="4" w:space="0" w:color="000000"/>
              <w:bottom w:val="single" w:sz="4" w:space="0" w:color="000000"/>
              <w:right w:val="single" w:sz="4" w:space="0" w:color="000000"/>
            </w:tcBorders>
          </w:tcPr>
          <w:p w14:paraId="6A3ADF16"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52</w:t>
            </w:r>
          </w:p>
        </w:tc>
        <w:tc>
          <w:tcPr>
            <w:tcW w:w="588" w:type="pct"/>
            <w:tcBorders>
              <w:top w:val="single" w:sz="4" w:space="0" w:color="000000"/>
              <w:left w:val="single" w:sz="4" w:space="0" w:color="000000"/>
              <w:bottom w:val="single" w:sz="4" w:space="0" w:color="000000"/>
              <w:right w:val="single" w:sz="4" w:space="0" w:color="000000"/>
            </w:tcBorders>
          </w:tcPr>
          <w:p w14:paraId="6F8D4D65"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16</w:t>
            </w:r>
          </w:p>
        </w:tc>
        <w:tc>
          <w:tcPr>
            <w:tcW w:w="512" w:type="pct"/>
            <w:tcBorders>
              <w:top w:val="single" w:sz="4" w:space="0" w:color="000000"/>
              <w:left w:val="single" w:sz="4" w:space="0" w:color="000000"/>
              <w:bottom w:val="single" w:sz="4" w:space="0" w:color="000000"/>
              <w:right w:val="single" w:sz="4" w:space="0" w:color="000000"/>
            </w:tcBorders>
          </w:tcPr>
          <w:p w14:paraId="1ADF05F1"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24</w:t>
            </w:r>
          </w:p>
        </w:tc>
      </w:tr>
      <w:tr w:rsidR="00A1205E" w:rsidRPr="00884A71" w14:paraId="130606E1" w14:textId="77777777" w:rsidTr="001000BC">
        <w:trPr>
          <w:trHeight w:val="336"/>
        </w:trPr>
        <w:tc>
          <w:tcPr>
            <w:tcW w:w="867" w:type="pct"/>
            <w:tcBorders>
              <w:top w:val="single" w:sz="4" w:space="0" w:color="000000"/>
              <w:bottom w:val="single" w:sz="4" w:space="0" w:color="000000"/>
              <w:right w:val="single" w:sz="4" w:space="0" w:color="000000"/>
            </w:tcBorders>
          </w:tcPr>
          <w:p w14:paraId="38E31274"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Вірменія</w:t>
            </w:r>
          </w:p>
        </w:tc>
        <w:tc>
          <w:tcPr>
            <w:tcW w:w="798" w:type="pct"/>
            <w:tcBorders>
              <w:top w:val="single" w:sz="4" w:space="0" w:color="000000"/>
              <w:left w:val="single" w:sz="4" w:space="0" w:color="000000"/>
              <w:bottom w:val="single" w:sz="4" w:space="0" w:color="000000"/>
              <w:right w:val="single" w:sz="4" w:space="0" w:color="000000"/>
            </w:tcBorders>
          </w:tcPr>
          <w:p w14:paraId="7A47B797"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32 (50)</w:t>
            </w:r>
          </w:p>
        </w:tc>
        <w:tc>
          <w:tcPr>
            <w:tcW w:w="449" w:type="pct"/>
            <w:tcBorders>
              <w:top w:val="single" w:sz="4" w:space="0" w:color="000000"/>
              <w:left w:val="single" w:sz="4" w:space="0" w:color="000000"/>
              <w:bottom w:val="single" w:sz="4" w:space="0" w:color="000000"/>
              <w:right w:val="single" w:sz="4" w:space="0" w:color="000000"/>
            </w:tcBorders>
          </w:tcPr>
          <w:p w14:paraId="2C5B18B0" w14:textId="77777777" w:rsidR="00A1205E" w:rsidRPr="00884A71" w:rsidRDefault="00A1205E" w:rsidP="001000BC">
            <w:pPr>
              <w:adjustRightInd w:val="0"/>
              <w:snapToGrid w:val="0"/>
              <w:spacing w:after="0" w:line="240" w:lineRule="auto"/>
              <w:jc w:val="both"/>
              <w:rPr>
                <w:rFonts w:ascii="Times New Roman" w:hAnsi="Times New Roman" w:cs="Times New Roman"/>
                <w:b/>
                <w:sz w:val="16"/>
                <w:szCs w:val="16"/>
              </w:rPr>
            </w:pPr>
            <w:r w:rsidRPr="00884A71">
              <w:rPr>
                <w:rFonts w:ascii="Times New Roman" w:hAnsi="Times New Roman" w:cs="Times New Roman"/>
                <w:b/>
                <w:sz w:val="16"/>
                <w:szCs w:val="16"/>
              </w:rPr>
              <w:t>11</w:t>
            </w:r>
          </w:p>
        </w:tc>
        <w:tc>
          <w:tcPr>
            <w:tcW w:w="364" w:type="pct"/>
            <w:tcBorders>
              <w:top w:val="single" w:sz="4" w:space="0" w:color="000000"/>
              <w:left w:val="single" w:sz="4" w:space="0" w:color="000000"/>
              <w:bottom w:val="single" w:sz="4" w:space="0" w:color="000000"/>
              <w:right w:val="single" w:sz="4" w:space="0" w:color="000000"/>
            </w:tcBorders>
          </w:tcPr>
          <w:p w14:paraId="3DCEE317"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46</w:t>
            </w:r>
          </w:p>
        </w:tc>
        <w:tc>
          <w:tcPr>
            <w:tcW w:w="323" w:type="pct"/>
            <w:tcBorders>
              <w:top w:val="single" w:sz="4" w:space="0" w:color="000000"/>
              <w:left w:val="single" w:sz="4" w:space="0" w:color="000000"/>
              <w:bottom w:val="single" w:sz="4" w:space="0" w:color="000000"/>
              <w:right w:val="single" w:sz="4" w:space="0" w:color="000000"/>
            </w:tcBorders>
          </w:tcPr>
          <w:p w14:paraId="44EACA50"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4</w:t>
            </w:r>
          </w:p>
        </w:tc>
        <w:tc>
          <w:tcPr>
            <w:tcW w:w="455" w:type="pct"/>
            <w:tcBorders>
              <w:top w:val="single" w:sz="4" w:space="0" w:color="000000"/>
              <w:left w:val="single" w:sz="4" w:space="0" w:color="000000"/>
              <w:bottom w:val="single" w:sz="4" w:space="0" w:color="000000"/>
              <w:right w:val="single" w:sz="4" w:space="0" w:color="000000"/>
            </w:tcBorders>
          </w:tcPr>
          <w:p w14:paraId="7E603A8C"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40</w:t>
            </w:r>
          </w:p>
        </w:tc>
        <w:tc>
          <w:tcPr>
            <w:tcW w:w="323" w:type="pct"/>
            <w:tcBorders>
              <w:top w:val="single" w:sz="4" w:space="0" w:color="000000"/>
              <w:left w:val="single" w:sz="4" w:space="0" w:color="000000"/>
              <w:bottom w:val="single" w:sz="4" w:space="0" w:color="000000"/>
              <w:right w:val="single" w:sz="4" w:space="0" w:color="000000"/>
            </w:tcBorders>
          </w:tcPr>
          <w:p w14:paraId="4CB304BF"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25</w:t>
            </w:r>
          </w:p>
        </w:tc>
        <w:tc>
          <w:tcPr>
            <w:tcW w:w="323" w:type="pct"/>
            <w:tcBorders>
              <w:top w:val="single" w:sz="4" w:space="0" w:color="000000"/>
              <w:left w:val="single" w:sz="4" w:space="0" w:color="000000"/>
              <w:bottom w:val="single" w:sz="4" w:space="0" w:color="000000"/>
              <w:right w:val="single" w:sz="4" w:space="0" w:color="000000"/>
            </w:tcBorders>
          </w:tcPr>
          <w:p w14:paraId="0AC9DED8"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108</w:t>
            </w:r>
          </w:p>
        </w:tc>
        <w:tc>
          <w:tcPr>
            <w:tcW w:w="588" w:type="pct"/>
            <w:tcBorders>
              <w:top w:val="single" w:sz="4" w:space="0" w:color="000000"/>
              <w:left w:val="single" w:sz="4" w:space="0" w:color="000000"/>
              <w:bottom w:val="single" w:sz="4" w:space="0" w:color="000000"/>
              <w:right w:val="single" w:sz="4" w:space="0" w:color="000000"/>
            </w:tcBorders>
          </w:tcPr>
          <w:p w14:paraId="7D76B492"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107</w:t>
            </w:r>
          </w:p>
        </w:tc>
        <w:tc>
          <w:tcPr>
            <w:tcW w:w="512" w:type="pct"/>
            <w:tcBorders>
              <w:top w:val="single" w:sz="4" w:space="0" w:color="000000"/>
              <w:left w:val="single" w:sz="4" w:space="0" w:color="000000"/>
              <w:bottom w:val="single" w:sz="4" w:space="0" w:color="000000"/>
              <w:right w:val="single" w:sz="4" w:space="0" w:color="000000"/>
            </w:tcBorders>
          </w:tcPr>
          <w:p w14:paraId="4DFA3668"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91</w:t>
            </w:r>
          </w:p>
        </w:tc>
      </w:tr>
      <w:tr w:rsidR="00A1205E" w:rsidRPr="00884A71" w14:paraId="7C9361DF" w14:textId="77777777" w:rsidTr="001000BC">
        <w:trPr>
          <w:trHeight w:val="336"/>
        </w:trPr>
        <w:tc>
          <w:tcPr>
            <w:tcW w:w="867" w:type="pct"/>
            <w:tcBorders>
              <w:top w:val="single" w:sz="4" w:space="0" w:color="000000"/>
              <w:bottom w:val="single" w:sz="4" w:space="0" w:color="000000"/>
              <w:right w:val="single" w:sz="4" w:space="0" w:color="000000"/>
            </w:tcBorders>
          </w:tcPr>
          <w:p w14:paraId="6942AA12"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Казахстан</w:t>
            </w:r>
          </w:p>
        </w:tc>
        <w:tc>
          <w:tcPr>
            <w:tcW w:w="798" w:type="pct"/>
            <w:tcBorders>
              <w:top w:val="single" w:sz="4" w:space="0" w:color="000000"/>
              <w:left w:val="single" w:sz="4" w:space="0" w:color="000000"/>
              <w:bottom w:val="single" w:sz="4" w:space="0" w:color="000000"/>
              <w:right w:val="single" w:sz="4" w:space="0" w:color="000000"/>
            </w:tcBorders>
          </w:tcPr>
          <w:p w14:paraId="3D83678E"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49 (47;58)</w:t>
            </w:r>
          </w:p>
        </w:tc>
        <w:tc>
          <w:tcPr>
            <w:tcW w:w="449" w:type="pct"/>
            <w:tcBorders>
              <w:top w:val="single" w:sz="4" w:space="0" w:color="000000"/>
              <w:left w:val="single" w:sz="4" w:space="0" w:color="000000"/>
              <w:bottom w:val="single" w:sz="4" w:space="0" w:color="000000"/>
              <w:right w:val="single" w:sz="4" w:space="0" w:color="000000"/>
            </w:tcBorders>
          </w:tcPr>
          <w:p w14:paraId="75288574" w14:textId="77777777" w:rsidR="00A1205E" w:rsidRPr="00884A71" w:rsidRDefault="00A1205E" w:rsidP="001000BC">
            <w:pPr>
              <w:adjustRightInd w:val="0"/>
              <w:snapToGrid w:val="0"/>
              <w:spacing w:after="0" w:line="240" w:lineRule="auto"/>
              <w:jc w:val="both"/>
              <w:rPr>
                <w:rFonts w:ascii="Times New Roman" w:hAnsi="Times New Roman" w:cs="Times New Roman"/>
                <w:b/>
                <w:sz w:val="16"/>
                <w:szCs w:val="16"/>
              </w:rPr>
            </w:pPr>
            <w:r w:rsidRPr="00884A71">
              <w:rPr>
                <w:rFonts w:ascii="Times New Roman" w:hAnsi="Times New Roman" w:cs="Times New Roman"/>
                <w:b/>
                <w:sz w:val="16"/>
                <w:szCs w:val="16"/>
              </w:rPr>
              <w:t>25</w:t>
            </w:r>
          </w:p>
        </w:tc>
        <w:tc>
          <w:tcPr>
            <w:tcW w:w="364" w:type="pct"/>
            <w:tcBorders>
              <w:top w:val="single" w:sz="4" w:space="0" w:color="000000"/>
              <w:left w:val="single" w:sz="4" w:space="0" w:color="000000"/>
              <w:bottom w:val="single" w:sz="4" w:space="0" w:color="000000"/>
              <w:right w:val="single" w:sz="4" w:space="0" w:color="000000"/>
            </w:tcBorders>
          </w:tcPr>
          <w:p w14:paraId="2E94AF4C"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155</w:t>
            </w:r>
          </w:p>
        </w:tc>
        <w:tc>
          <w:tcPr>
            <w:tcW w:w="323" w:type="pct"/>
            <w:tcBorders>
              <w:top w:val="single" w:sz="4" w:space="0" w:color="000000"/>
              <w:left w:val="single" w:sz="4" w:space="0" w:color="000000"/>
              <w:bottom w:val="single" w:sz="4" w:space="0" w:color="000000"/>
              <w:right w:val="single" w:sz="4" w:space="0" w:color="000000"/>
            </w:tcBorders>
          </w:tcPr>
          <w:p w14:paraId="1915CFB4"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28</w:t>
            </w:r>
          </w:p>
        </w:tc>
        <w:tc>
          <w:tcPr>
            <w:tcW w:w="455" w:type="pct"/>
            <w:tcBorders>
              <w:top w:val="single" w:sz="4" w:space="0" w:color="000000"/>
              <w:left w:val="single" w:sz="4" w:space="0" w:color="000000"/>
              <w:bottom w:val="single" w:sz="4" w:space="0" w:color="000000"/>
              <w:right w:val="single" w:sz="4" w:space="0" w:color="000000"/>
            </w:tcBorders>
          </w:tcPr>
          <w:p w14:paraId="74CDDEBD"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83</w:t>
            </w:r>
          </w:p>
        </w:tc>
        <w:tc>
          <w:tcPr>
            <w:tcW w:w="323" w:type="pct"/>
            <w:tcBorders>
              <w:top w:val="single" w:sz="4" w:space="0" w:color="000000"/>
              <w:left w:val="single" w:sz="4" w:space="0" w:color="000000"/>
              <w:bottom w:val="single" w:sz="4" w:space="0" w:color="000000"/>
              <w:right w:val="single" w:sz="4" w:space="0" w:color="000000"/>
            </w:tcBorders>
          </w:tcPr>
          <w:p w14:paraId="18E6FB43"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10</w:t>
            </w:r>
          </w:p>
        </w:tc>
        <w:tc>
          <w:tcPr>
            <w:tcW w:w="323" w:type="pct"/>
            <w:tcBorders>
              <w:top w:val="single" w:sz="4" w:space="0" w:color="000000"/>
              <w:left w:val="single" w:sz="4" w:space="0" w:color="000000"/>
              <w:bottom w:val="single" w:sz="4" w:space="0" w:color="000000"/>
              <w:right w:val="single" w:sz="4" w:space="0" w:color="000000"/>
            </w:tcBorders>
          </w:tcPr>
          <w:p w14:paraId="704203E4"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17</w:t>
            </w:r>
          </w:p>
        </w:tc>
        <w:tc>
          <w:tcPr>
            <w:tcW w:w="588" w:type="pct"/>
            <w:tcBorders>
              <w:top w:val="single" w:sz="4" w:space="0" w:color="000000"/>
              <w:left w:val="single" w:sz="4" w:space="0" w:color="000000"/>
              <w:bottom w:val="single" w:sz="4" w:space="0" w:color="000000"/>
              <w:right w:val="single" w:sz="4" w:space="0" w:color="000000"/>
            </w:tcBorders>
          </w:tcPr>
          <w:p w14:paraId="2F9C37C4"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182</w:t>
            </w:r>
          </w:p>
        </w:tc>
        <w:tc>
          <w:tcPr>
            <w:tcW w:w="512" w:type="pct"/>
            <w:tcBorders>
              <w:top w:val="single" w:sz="4" w:space="0" w:color="000000"/>
              <w:left w:val="single" w:sz="4" w:space="0" w:color="000000"/>
              <w:bottom w:val="single" w:sz="4" w:space="0" w:color="000000"/>
              <w:right w:val="single" w:sz="4" w:space="0" w:color="000000"/>
            </w:tcBorders>
          </w:tcPr>
          <w:p w14:paraId="17143073"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28</w:t>
            </w:r>
          </w:p>
        </w:tc>
      </w:tr>
      <w:tr w:rsidR="00A1205E" w:rsidRPr="00884A71" w14:paraId="3243C511" w14:textId="77777777" w:rsidTr="001000BC">
        <w:trPr>
          <w:trHeight w:val="336"/>
        </w:trPr>
        <w:tc>
          <w:tcPr>
            <w:tcW w:w="867" w:type="pct"/>
            <w:tcBorders>
              <w:top w:val="single" w:sz="4" w:space="0" w:color="000000"/>
              <w:bottom w:val="single" w:sz="4" w:space="0" w:color="000000"/>
              <w:right w:val="single" w:sz="4" w:space="0" w:color="000000"/>
            </w:tcBorders>
          </w:tcPr>
          <w:p w14:paraId="3D1EADC2"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Польща</w:t>
            </w:r>
          </w:p>
        </w:tc>
        <w:tc>
          <w:tcPr>
            <w:tcW w:w="798" w:type="pct"/>
            <w:tcBorders>
              <w:top w:val="single" w:sz="4" w:space="0" w:color="000000"/>
              <w:left w:val="single" w:sz="4" w:space="0" w:color="000000"/>
              <w:bottom w:val="single" w:sz="4" w:space="0" w:color="000000"/>
              <w:right w:val="single" w:sz="4" w:space="0" w:color="000000"/>
            </w:tcBorders>
          </w:tcPr>
          <w:p w14:paraId="5CFCCE28"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55 (62;59)</w:t>
            </w:r>
          </w:p>
        </w:tc>
        <w:tc>
          <w:tcPr>
            <w:tcW w:w="449" w:type="pct"/>
            <w:tcBorders>
              <w:top w:val="single" w:sz="4" w:space="0" w:color="000000"/>
              <w:left w:val="single" w:sz="4" w:space="0" w:color="000000"/>
              <w:bottom w:val="single" w:sz="4" w:space="0" w:color="000000"/>
              <w:right w:val="single" w:sz="4" w:space="0" w:color="000000"/>
            </w:tcBorders>
          </w:tcPr>
          <w:p w14:paraId="697DB6D6" w14:textId="77777777" w:rsidR="00A1205E" w:rsidRPr="00884A71" w:rsidRDefault="00A1205E" w:rsidP="001000BC">
            <w:pPr>
              <w:adjustRightInd w:val="0"/>
              <w:snapToGrid w:val="0"/>
              <w:spacing w:after="0" w:line="240" w:lineRule="auto"/>
              <w:jc w:val="both"/>
              <w:rPr>
                <w:rFonts w:ascii="Times New Roman" w:hAnsi="Times New Roman" w:cs="Times New Roman"/>
                <w:b/>
                <w:sz w:val="16"/>
                <w:szCs w:val="16"/>
              </w:rPr>
            </w:pPr>
            <w:r w:rsidRPr="00884A71">
              <w:rPr>
                <w:rFonts w:ascii="Times New Roman" w:hAnsi="Times New Roman" w:cs="Times New Roman"/>
                <w:b/>
                <w:sz w:val="16"/>
                <w:szCs w:val="16"/>
              </w:rPr>
              <w:t>124</w:t>
            </w:r>
          </w:p>
        </w:tc>
        <w:tc>
          <w:tcPr>
            <w:tcW w:w="364" w:type="pct"/>
            <w:tcBorders>
              <w:top w:val="single" w:sz="4" w:space="0" w:color="000000"/>
              <w:left w:val="single" w:sz="4" w:space="0" w:color="000000"/>
              <w:bottom w:val="single" w:sz="4" w:space="0" w:color="000000"/>
              <w:right w:val="single" w:sz="4" w:space="0" w:color="000000"/>
            </w:tcBorders>
          </w:tcPr>
          <w:p w14:paraId="16DC1593"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161</w:t>
            </w:r>
          </w:p>
        </w:tc>
        <w:tc>
          <w:tcPr>
            <w:tcW w:w="323" w:type="pct"/>
            <w:tcBorders>
              <w:top w:val="single" w:sz="4" w:space="0" w:color="000000"/>
              <w:left w:val="single" w:sz="4" w:space="0" w:color="000000"/>
              <w:bottom w:val="single" w:sz="4" w:space="0" w:color="000000"/>
              <w:right w:val="single" w:sz="4" w:space="0" w:color="000000"/>
            </w:tcBorders>
          </w:tcPr>
          <w:p w14:paraId="1434561D"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62</w:t>
            </w:r>
          </w:p>
        </w:tc>
        <w:tc>
          <w:tcPr>
            <w:tcW w:w="455" w:type="pct"/>
            <w:tcBorders>
              <w:top w:val="single" w:sz="4" w:space="0" w:color="000000"/>
              <w:left w:val="single" w:sz="4" w:space="0" w:color="000000"/>
              <w:bottom w:val="single" w:sz="4" w:space="0" w:color="000000"/>
              <w:right w:val="single" w:sz="4" w:space="0" w:color="000000"/>
            </w:tcBorders>
          </w:tcPr>
          <w:p w14:paraId="36D8425E"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4</w:t>
            </w:r>
          </w:p>
        </w:tc>
        <w:tc>
          <w:tcPr>
            <w:tcW w:w="323" w:type="pct"/>
            <w:tcBorders>
              <w:top w:val="single" w:sz="4" w:space="0" w:color="000000"/>
              <w:left w:val="single" w:sz="4" w:space="0" w:color="000000"/>
              <w:bottom w:val="single" w:sz="4" w:space="0" w:color="000000"/>
              <w:right w:val="single" w:sz="4" w:space="0" w:color="000000"/>
            </w:tcBorders>
          </w:tcPr>
          <w:p w14:paraId="2176F3F5"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49</w:t>
            </w:r>
          </w:p>
        </w:tc>
        <w:tc>
          <w:tcPr>
            <w:tcW w:w="323" w:type="pct"/>
            <w:tcBorders>
              <w:top w:val="single" w:sz="4" w:space="0" w:color="000000"/>
              <w:left w:val="single" w:sz="4" w:space="0" w:color="000000"/>
              <w:bottom w:val="single" w:sz="4" w:space="0" w:color="000000"/>
              <w:right w:val="single" w:sz="4" w:space="0" w:color="000000"/>
            </w:tcBorders>
          </w:tcPr>
          <w:p w14:paraId="6B79AF61"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114</w:t>
            </w:r>
          </w:p>
        </w:tc>
        <w:tc>
          <w:tcPr>
            <w:tcW w:w="588" w:type="pct"/>
            <w:tcBorders>
              <w:top w:val="single" w:sz="4" w:space="0" w:color="000000"/>
              <w:left w:val="single" w:sz="4" w:space="0" w:color="000000"/>
              <w:bottom w:val="single" w:sz="4" w:space="0" w:color="000000"/>
              <w:right w:val="single" w:sz="4" w:space="0" w:color="000000"/>
            </w:tcBorders>
          </w:tcPr>
          <w:p w14:paraId="364A10FA"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50</w:t>
            </w:r>
          </w:p>
        </w:tc>
        <w:tc>
          <w:tcPr>
            <w:tcW w:w="512" w:type="pct"/>
            <w:tcBorders>
              <w:top w:val="single" w:sz="4" w:space="0" w:color="000000"/>
              <w:left w:val="single" w:sz="4" w:space="0" w:color="000000"/>
              <w:bottom w:val="single" w:sz="4" w:space="0" w:color="000000"/>
              <w:right w:val="single" w:sz="4" w:space="0" w:color="000000"/>
            </w:tcBorders>
          </w:tcPr>
          <w:p w14:paraId="527A20A9"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56</w:t>
            </w:r>
          </w:p>
        </w:tc>
      </w:tr>
      <w:tr w:rsidR="00A1205E" w:rsidRPr="00884A71" w14:paraId="20133150" w14:textId="77777777" w:rsidTr="001000BC">
        <w:trPr>
          <w:trHeight w:val="336"/>
        </w:trPr>
        <w:tc>
          <w:tcPr>
            <w:tcW w:w="867" w:type="pct"/>
            <w:tcBorders>
              <w:top w:val="single" w:sz="4" w:space="0" w:color="000000"/>
              <w:bottom w:val="single" w:sz="4" w:space="0" w:color="000000"/>
              <w:right w:val="single" w:sz="4" w:space="0" w:color="000000"/>
            </w:tcBorders>
          </w:tcPr>
          <w:p w14:paraId="6CEBF690"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Білорусь</w:t>
            </w:r>
          </w:p>
        </w:tc>
        <w:tc>
          <w:tcPr>
            <w:tcW w:w="798" w:type="pct"/>
            <w:tcBorders>
              <w:top w:val="single" w:sz="4" w:space="0" w:color="000000"/>
              <w:left w:val="single" w:sz="4" w:space="0" w:color="000000"/>
              <w:bottom w:val="single" w:sz="4" w:space="0" w:color="000000"/>
              <w:right w:val="single" w:sz="4" w:space="0" w:color="000000"/>
            </w:tcBorders>
          </w:tcPr>
          <w:p w14:paraId="335EE6E7"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58 (69;91)</w:t>
            </w:r>
          </w:p>
        </w:tc>
        <w:tc>
          <w:tcPr>
            <w:tcW w:w="449" w:type="pct"/>
            <w:tcBorders>
              <w:top w:val="single" w:sz="4" w:space="0" w:color="000000"/>
              <w:left w:val="single" w:sz="4" w:space="0" w:color="000000"/>
              <w:bottom w:val="single" w:sz="4" w:space="0" w:color="000000"/>
              <w:right w:val="single" w:sz="4" w:space="0" w:color="000000"/>
            </w:tcBorders>
          </w:tcPr>
          <w:p w14:paraId="5ACCF7AB" w14:textId="77777777" w:rsidR="00A1205E" w:rsidRPr="00884A71" w:rsidRDefault="00A1205E" w:rsidP="001000BC">
            <w:pPr>
              <w:adjustRightInd w:val="0"/>
              <w:snapToGrid w:val="0"/>
              <w:spacing w:after="0" w:line="240" w:lineRule="auto"/>
              <w:jc w:val="both"/>
              <w:rPr>
                <w:rFonts w:ascii="Times New Roman" w:hAnsi="Times New Roman" w:cs="Times New Roman"/>
                <w:b/>
                <w:sz w:val="16"/>
                <w:szCs w:val="16"/>
              </w:rPr>
            </w:pPr>
            <w:r w:rsidRPr="00884A71">
              <w:rPr>
                <w:rFonts w:ascii="Times New Roman" w:hAnsi="Times New Roman" w:cs="Times New Roman"/>
                <w:b/>
                <w:sz w:val="16"/>
                <w:szCs w:val="16"/>
              </w:rPr>
              <w:t>9</w:t>
            </w:r>
          </w:p>
        </w:tc>
        <w:tc>
          <w:tcPr>
            <w:tcW w:w="364" w:type="pct"/>
            <w:tcBorders>
              <w:top w:val="single" w:sz="4" w:space="0" w:color="000000"/>
              <w:left w:val="single" w:sz="4" w:space="0" w:color="000000"/>
              <w:bottom w:val="single" w:sz="4" w:space="0" w:color="000000"/>
              <w:right w:val="single" w:sz="4" w:space="0" w:color="000000"/>
            </w:tcBorders>
          </w:tcPr>
          <w:p w14:paraId="04464D77"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30</w:t>
            </w:r>
          </w:p>
        </w:tc>
        <w:tc>
          <w:tcPr>
            <w:tcW w:w="323" w:type="pct"/>
            <w:tcBorders>
              <w:top w:val="single" w:sz="4" w:space="0" w:color="000000"/>
              <w:left w:val="single" w:sz="4" w:space="0" w:color="000000"/>
              <w:bottom w:val="single" w:sz="4" w:space="0" w:color="000000"/>
              <w:right w:val="single" w:sz="4" w:space="0" w:color="000000"/>
            </w:tcBorders>
          </w:tcPr>
          <w:p w14:paraId="181688C1"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3</w:t>
            </w:r>
          </w:p>
        </w:tc>
        <w:tc>
          <w:tcPr>
            <w:tcW w:w="455" w:type="pct"/>
            <w:tcBorders>
              <w:top w:val="single" w:sz="4" w:space="0" w:color="000000"/>
              <w:left w:val="single" w:sz="4" w:space="0" w:color="000000"/>
              <w:bottom w:val="single" w:sz="4" w:space="0" w:color="000000"/>
              <w:right w:val="single" w:sz="4" w:space="0" w:color="000000"/>
            </w:tcBorders>
          </w:tcPr>
          <w:p w14:paraId="33890245"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104</w:t>
            </w:r>
          </w:p>
        </w:tc>
        <w:tc>
          <w:tcPr>
            <w:tcW w:w="323" w:type="pct"/>
            <w:tcBorders>
              <w:top w:val="single" w:sz="4" w:space="0" w:color="000000"/>
              <w:left w:val="single" w:sz="4" w:space="0" w:color="000000"/>
              <w:bottom w:val="single" w:sz="4" w:space="0" w:color="000000"/>
              <w:right w:val="single" w:sz="4" w:space="0" w:color="000000"/>
            </w:tcBorders>
          </w:tcPr>
          <w:p w14:paraId="2A28E6B6"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82</w:t>
            </w:r>
          </w:p>
        </w:tc>
        <w:tc>
          <w:tcPr>
            <w:tcW w:w="323" w:type="pct"/>
            <w:tcBorders>
              <w:top w:val="single" w:sz="4" w:space="0" w:color="000000"/>
              <w:left w:val="single" w:sz="4" w:space="0" w:color="000000"/>
              <w:bottom w:val="single" w:sz="4" w:space="0" w:color="000000"/>
              <w:right w:val="single" w:sz="4" w:space="0" w:color="000000"/>
            </w:tcBorders>
          </w:tcPr>
          <w:p w14:paraId="7E279F31"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129</w:t>
            </w:r>
          </w:p>
        </w:tc>
        <w:tc>
          <w:tcPr>
            <w:tcW w:w="588" w:type="pct"/>
            <w:tcBorders>
              <w:top w:val="single" w:sz="4" w:space="0" w:color="000000"/>
              <w:left w:val="single" w:sz="4" w:space="0" w:color="000000"/>
              <w:bottom w:val="single" w:sz="4" w:space="0" w:color="000000"/>
              <w:right w:val="single" w:sz="4" w:space="0" w:color="000000"/>
            </w:tcBorders>
          </w:tcPr>
          <w:p w14:paraId="51131B27"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151</w:t>
            </w:r>
          </w:p>
        </w:tc>
        <w:tc>
          <w:tcPr>
            <w:tcW w:w="512" w:type="pct"/>
            <w:tcBorders>
              <w:top w:val="single" w:sz="4" w:space="0" w:color="000000"/>
              <w:left w:val="single" w:sz="4" w:space="0" w:color="000000"/>
              <w:bottom w:val="single" w:sz="4" w:space="0" w:color="000000"/>
              <w:right w:val="single" w:sz="4" w:space="0" w:color="000000"/>
            </w:tcBorders>
          </w:tcPr>
          <w:p w14:paraId="650586D9"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13</w:t>
            </w:r>
          </w:p>
        </w:tc>
      </w:tr>
      <w:tr w:rsidR="00A1205E" w:rsidRPr="00884A71" w14:paraId="1637204E" w14:textId="77777777" w:rsidTr="001000BC">
        <w:trPr>
          <w:trHeight w:val="336"/>
        </w:trPr>
        <w:tc>
          <w:tcPr>
            <w:tcW w:w="867" w:type="pct"/>
            <w:tcBorders>
              <w:top w:val="single" w:sz="4" w:space="0" w:color="000000"/>
              <w:bottom w:val="single" w:sz="4" w:space="0" w:color="000000"/>
              <w:right w:val="single" w:sz="4" w:space="0" w:color="000000"/>
            </w:tcBorders>
          </w:tcPr>
          <w:p w14:paraId="1B5794EB"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Румунія</w:t>
            </w:r>
          </w:p>
        </w:tc>
        <w:tc>
          <w:tcPr>
            <w:tcW w:w="798" w:type="pct"/>
            <w:tcBorders>
              <w:top w:val="single" w:sz="4" w:space="0" w:color="000000"/>
              <w:left w:val="single" w:sz="4" w:space="0" w:color="000000"/>
              <w:bottom w:val="single" w:sz="4" w:space="0" w:color="000000"/>
              <w:right w:val="single" w:sz="4" w:space="0" w:color="000000"/>
            </w:tcBorders>
          </w:tcPr>
          <w:p w14:paraId="09F8C075"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72 (72;65)</w:t>
            </w:r>
          </w:p>
        </w:tc>
        <w:tc>
          <w:tcPr>
            <w:tcW w:w="449" w:type="pct"/>
            <w:tcBorders>
              <w:top w:val="single" w:sz="4" w:space="0" w:color="000000"/>
              <w:left w:val="single" w:sz="4" w:space="0" w:color="000000"/>
              <w:bottom w:val="single" w:sz="4" w:space="0" w:color="000000"/>
              <w:right w:val="single" w:sz="4" w:space="0" w:color="000000"/>
            </w:tcBorders>
          </w:tcPr>
          <w:p w14:paraId="26FC0E1D" w14:textId="77777777" w:rsidR="00A1205E" w:rsidRPr="00884A71" w:rsidRDefault="00A1205E" w:rsidP="001000BC">
            <w:pPr>
              <w:adjustRightInd w:val="0"/>
              <w:snapToGrid w:val="0"/>
              <w:spacing w:after="0" w:line="240" w:lineRule="auto"/>
              <w:jc w:val="both"/>
              <w:rPr>
                <w:rFonts w:ascii="Times New Roman" w:hAnsi="Times New Roman" w:cs="Times New Roman"/>
                <w:b/>
                <w:sz w:val="16"/>
                <w:szCs w:val="16"/>
              </w:rPr>
            </w:pPr>
            <w:r w:rsidRPr="00884A71">
              <w:rPr>
                <w:rFonts w:ascii="Times New Roman" w:hAnsi="Times New Roman" w:cs="Times New Roman"/>
                <w:b/>
                <w:sz w:val="16"/>
                <w:szCs w:val="16"/>
              </w:rPr>
              <w:t>68</w:t>
            </w:r>
          </w:p>
        </w:tc>
        <w:tc>
          <w:tcPr>
            <w:tcW w:w="364" w:type="pct"/>
            <w:tcBorders>
              <w:top w:val="single" w:sz="4" w:space="0" w:color="000000"/>
              <w:left w:val="single" w:sz="4" w:space="0" w:color="000000"/>
              <w:bottom w:val="single" w:sz="4" w:space="0" w:color="000000"/>
              <w:right w:val="single" w:sz="4" w:space="0" w:color="000000"/>
            </w:tcBorders>
          </w:tcPr>
          <w:p w14:paraId="2EB63E8F"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129</w:t>
            </w:r>
          </w:p>
        </w:tc>
        <w:tc>
          <w:tcPr>
            <w:tcW w:w="323" w:type="pct"/>
            <w:tcBorders>
              <w:top w:val="single" w:sz="4" w:space="0" w:color="000000"/>
              <w:left w:val="single" w:sz="4" w:space="0" w:color="000000"/>
              <w:bottom w:val="single" w:sz="4" w:space="0" w:color="000000"/>
              <w:right w:val="single" w:sz="4" w:space="0" w:color="000000"/>
            </w:tcBorders>
          </w:tcPr>
          <w:p w14:paraId="208ACD7E"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72</w:t>
            </w:r>
          </w:p>
        </w:tc>
        <w:tc>
          <w:tcPr>
            <w:tcW w:w="455" w:type="pct"/>
            <w:tcBorders>
              <w:top w:val="single" w:sz="4" w:space="0" w:color="000000"/>
              <w:left w:val="single" w:sz="4" w:space="0" w:color="000000"/>
              <w:bottom w:val="single" w:sz="4" w:space="0" w:color="000000"/>
              <w:right w:val="single" w:sz="4" w:space="0" w:color="000000"/>
            </w:tcBorders>
          </w:tcPr>
          <w:p w14:paraId="07FA1093"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12</w:t>
            </w:r>
          </w:p>
        </w:tc>
        <w:tc>
          <w:tcPr>
            <w:tcW w:w="323" w:type="pct"/>
            <w:tcBorders>
              <w:top w:val="single" w:sz="4" w:space="0" w:color="000000"/>
              <w:left w:val="single" w:sz="4" w:space="0" w:color="000000"/>
              <w:bottom w:val="single" w:sz="4" w:space="0" w:color="000000"/>
              <w:right w:val="single" w:sz="4" w:space="0" w:color="000000"/>
            </w:tcBorders>
          </w:tcPr>
          <w:p w14:paraId="1F5A9AEA"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49</w:t>
            </w:r>
          </w:p>
        </w:tc>
        <w:tc>
          <w:tcPr>
            <w:tcW w:w="323" w:type="pct"/>
            <w:tcBorders>
              <w:top w:val="single" w:sz="4" w:space="0" w:color="000000"/>
              <w:left w:val="single" w:sz="4" w:space="0" w:color="000000"/>
              <w:bottom w:val="single" w:sz="4" w:space="0" w:color="000000"/>
              <w:right w:val="single" w:sz="4" w:space="0" w:color="000000"/>
            </w:tcBorders>
          </w:tcPr>
          <w:p w14:paraId="71F5CFBB"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136</w:t>
            </w:r>
          </w:p>
        </w:tc>
        <w:tc>
          <w:tcPr>
            <w:tcW w:w="588" w:type="pct"/>
            <w:tcBorders>
              <w:top w:val="single" w:sz="4" w:space="0" w:color="000000"/>
              <w:left w:val="single" w:sz="4" w:space="0" w:color="000000"/>
              <w:bottom w:val="single" w:sz="4" w:space="0" w:color="000000"/>
              <w:right w:val="single" w:sz="4" w:space="0" w:color="000000"/>
            </w:tcBorders>
          </w:tcPr>
          <w:p w14:paraId="7E2F3922"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72</w:t>
            </w:r>
          </w:p>
        </w:tc>
        <w:tc>
          <w:tcPr>
            <w:tcW w:w="512" w:type="pct"/>
            <w:tcBorders>
              <w:top w:val="single" w:sz="4" w:space="0" w:color="000000"/>
              <w:left w:val="single" w:sz="4" w:space="0" w:color="000000"/>
              <w:bottom w:val="single" w:sz="4" w:space="0" w:color="000000"/>
              <w:right w:val="single" w:sz="4" w:space="0" w:color="000000"/>
            </w:tcBorders>
          </w:tcPr>
          <w:p w14:paraId="74AFC575"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60</w:t>
            </w:r>
          </w:p>
        </w:tc>
      </w:tr>
      <w:tr w:rsidR="00A1205E" w:rsidRPr="00884A71" w14:paraId="6BF5F66F" w14:textId="77777777" w:rsidTr="001000BC">
        <w:trPr>
          <w:trHeight w:val="336"/>
        </w:trPr>
        <w:tc>
          <w:tcPr>
            <w:tcW w:w="867" w:type="pct"/>
            <w:tcBorders>
              <w:top w:val="single" w:sz="4" w:space="0" w:color="000000"/>
              <w:bottom w:val="single" w:sz="4" w:space="0" w:color="000000"/>
              <w:right w:val="single" w:sz="4" w:space="0" w:color="000000"/>
            </w:tcBorders>
          </w:tcPr>
          <w:p w14:paraId="5BDEFB1E"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Молдова</w:t>
            </w:r>
          </w:p>
        </w:tc>
        <w:tc>
          <w:tcPr>
            <w:tcW w:w="798" w:type="pct"/>
            <w:tcBorders>
              <w:top w:val="single" w:sz="4" w:space="0" w:color="000000"/>
              <w:left w:val="single" w:sz="4" w:space="0" w:color="000000"/>
              <w:bottom w:val="single" w:sz="4" w:space="0" w:color="000000"/>
              <w:right w:val="single" w:sz="4" w:space="0" w:color="000000"/>
            </w:tcBorders>
          </w:tcPr>
          <w:p w14:paraId="1454A33D"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83 (81;99)</w:t>
            </w:r>
          </w:p>
        </w:tc>
        <w:tc>
          <w:tcPr>
            <w:tcW w:w="449" w:type="pct"/>
            <w:tcBorders>
              <w:top w:val="single" w:sz="4" w:space="0" w:color="000000"/>
              <w:left w:val="single" w:sz="4" w:space="0" w:color="000000"/>
              <w:bottom w:val="single" w:sz="4" w:space="0" w:color="000000"/>
              <w:right w:val="single" w:sz="4" w:space="0" w:color="000000"/>
            </w:tcBorders>
          </w:tcPr>
          <w:p w14:paraId="0E071FDF" w14:textId="77777777" w:rsidR="00A1205E" w:rsidRPr="00884A71" w:rsidRDefault="00A1205E" w:rsidP="001000BC">
            <w:pPr>
              <w:adjustRightInd w:val="0"/>
              <w:snapToGrid w:val="0"/>
              <w:spacing w:after="0" w:line="240" w:lineRule="auto"/>
              <w:jc w:val="both"/>
              <w:rPr>
                <w:rFonts w:ascii="Times New Roman" w:hAnsi="Times New Roman" w:cs="Times New Roman"/>
                <w:b/>
                <w:sz w:val="16"/>
                <w:szCs w:val="16"/>
              </w:rPr>
            </w:pPr>
            <w:r w:rsidRPr="00884A71">
              <w:rPr>
                <w:rFonts w:ascii="Times New Roman" w:hAnsi="Times New Roman" w:cs="Times New Roman"/>
                <w:b/>
                <w:sz w:val="16"/>
                <w:szCs w:val="16"/>
              </w:rPr>
              <w:t>92</w:t>
            </w:r>
          </w:p>
        </w:tc>
        <w:tc>
          <w:tcPr>
            <w:tcW w:w="364" w:type="pct"/>
            <w:tcBorders>
              <w:top w:val="single" w:sz="4" w:space="0" w:color="000000"/>
              <w:left w:val="single" w:sz="4" w:space="0" w:color="000000"/>
              <w:bottom w:val="single" w:sz="4" w:space="0" w:color="000000"/>
              <w:right w:val="single" w:sz="4" w:space="0" w:color="000000"/>
            </w:tcBorders>
          </w:tcPr>
          <w:p w14:paraId="425E7724"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168</w:t>
            </w:r>
          </w:p>
        </w:tc>
        <w:tc>
          <w:tcPr>
            <w:tcW w:w="323" w:type="pct"/>
            <w:tcBorders>
              <w:top w:val="single" w:sz="4" w:space="0" w:color="000000"/>
              <w:left w:val="single" w:sz="4" w:space="0" w:color="000000"/>
              <w:bottom w:val="single" w:sz="4" w:space="0" w:color="000000"/>
              <w:right w:val="single" w:sz="4" w:space="0" w:color="000000"/>
            </w:tcBorders>
          </w:tcPr>
          <w:p w14:paraId="3D0D84B5"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16</w:t>
            </w:r>
          </w:p>
        </w:tc>
        <w:tc>
          <w:tcPr>
            <w:tcW w:w="455" w:type="pct"/>
            <w:tcBorders>
              <w:top w:val="single" w:sz="4" w:space="0" w:color="000000"/>
              <w:left w:val="single" w:sz="4" w:space="0" w:color="000000"/>
              <w:bottom w:val="single" w:sz="4" w:space="0" w:color="000000"/>
              <w:right w:val="single" w:sz="4" w:space="0" w:color="000000"/>
            </w:tcBorders>
          </w:tcPr>
          <w:p w14:paraId="4AA8EB6B"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40</w:t>
            </w:r>
          </w:p>
        </w:tc>
        <w:tc>
          <w:tcPr>
            <w:tcW w:w="323" w:type="pct"/>
            <w:tcBorders>
              <w:top w:val="single" w:sz="4" w:space="0" w:color="000000"/>
              <w:left w:val="single" w:sz="4" w:space="0" w:color="000000"/>
              <w:bottom w:val="single" w:sz="4" w:space="0" w:color="000000"/>
              <w:right w:val="single" w:sz="4" w:space="0" w:color="000000"/>
            </w:tcBorders>
          </w:tcPr>
          <w:p w14:paraId="4D5C55A4"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82</w:t>
            </w:r>
          </w:p>
        </w:tc>
        <w:tc>
          <w:tcPr>
            <w:tcW w:w="323" w:type="pct"/>
            <w:tcBorders>
              <w:top w:val="single" w:sz="4" w:space="0" w:color="000000"/>
              <w:left w:val="single" w:sz="4" w:space="0" w:color="000000"/>
              <w:bottom w:val="single" w:sz="4" w:space="0" w:color="000000"/>
              <w:right w:val="single" w:sz="4" w:space="0" w:color="000000"/>
            </w:tcBorders>
          </w:tcPr>
          <w:p w14:paraId="6A4E5263"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109</w:t>
            </w:r>
          </w:p>
        </w:tc>
        <w:tc>
          <w:tcPr>
            <w:tcW w:w="588" w:type="pct"/>
            <w:tcBorders>
              <w:top w:val="single" w:sz="4" w:space="0" w:color="000000"/>
              <w:left w:val="single" w:sz="4" w:space="0" w:color="000000"/>
              <w:bottom w:val="single" w:sz="4" w:space="0" w:color="000000"/>
              <w:right w:val="single" w:sz="4" w:space="0" w:color="000000"/>
            </w:tcBorders>
          </w:tcPr>
          <w:p w14:paraId="59BB89B0"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142</w:t>
            </w:r>
          </w:p>
        </w:tc>
        <w:tc>
          <w:tcPr>
            <w:tcW w:w="512" w:type="pct"/>
            <w:tcBorders>
              <w:top w:val="single" w:sz="4" w:space="0" w:color="000000"/>
              <w:left w:val="single" w:sz="4" w:space="0" w:color="000000"/>
              <w:bottom w:val="single" w:sz="4" w:space="0" w:color="000000"/>
              <w:right w:val="single" w:sz="4" w:space="0" w:color="000000"/>
            </w:tcBorders>
          </w:tcPr>
          <w:p w14:paraId="0A9E0A18"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26</w:t>
            </w:r>
          </w:p>
        </w:tc>
      </w:tr>
      <w:tr w:rsidR="00A1205E" w:rsidRPr="00884A71" w14:paraId="2C3A43E9" w14:textId="77777777" w:rsidTr="001000BC">
        <w:trPr>
          <w:trHeight w:val="543"/>
        </w:trPr>
        <w:tc>
          <w:tcPr>
            <w:tcW w:w="867" w:type="pct"/>
            <w:tcBorders>
              <w:top w:val="single" w:sz="4" w:space="0" w:color="000000"/>
              <w:bottom w:val="single" w:sz="4" w:space="0" w:color="000000"/>
              <w:right w:val="single" w:sz="4" w:space="0" w:color="000000"/>
            </w:tcBorders>
          </w:tcPr>
          <w:p w14:paraId="55FBF79C"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Російська Федерація</w:t>
            </w:r>
          </w:p>
        </w:tc>
        <w:tc>
          <w:tcPr>
            <w:tcW w:w="798" w:type="pct"/>
            <w:tcBorders>
              <w:top w:val="single" w:sz="4" w:space="0" w:color="000000"/>
              <w:left w:val="single" w:sz="4" w:space="0" w:color="000000"/>
              <w:bottom w:val="single" w:sz="4" w:space="0" w:color="000000"/>
              <w:right w:val="single" w:sz="4" w:space="0" w:color="000000"/>
            </w:tcBorders>
          </w:tcPr>
          <w:p w14:paraId="3E56FC1B"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112 (120;124)</w:t>
            </w:r>
          </w:p>
        </w:tc>
        <w:tc>
          <w:tcPr>
            <w:tcW w:w="449" w:type="pct"/>
            <w:tcBorders>
              <w:top w:val="single" w:sz="4" w:space="0" w:color="000000"/>
              <w:left w:val="single" w:sz="4" w:space="0" w:color="000000"/>
              <w:bottom w:val="single" w:sz="4" w:space="0" w:color="000000"/>
              <w:right w:val="single" w:sz="4" w:space="0" w:color="000000"/>
            </w:tcBorders>
          </w:tcPr>
          <w:p w14:paraId="2A1268E2" w14:textId="77777777" w:rsidR="00A1205E" w:rsidRPr="00884A71" w:rsidRDefault="00A1205E" w:rsidP="001000BC">
            <w:pPr>
              <w:adjustRightInd w:val="0"/>
              <w:snapToGrid w:val="0"/>
              <w:spacing w:after="0" w:line="240" w:lineRule="auto"/>
              <w:jc w:val="both"/>
              <w:rPr>
                <w:rFonts w:ascii="Times New Roman" w:hAnsi="Times New Roman" w:cs="Times New Roman"/>
                <w:b/>
                <w:sz w:val="16"/>
                <w:szCs w:val="16"/>
              </w:rPr>
            </w:pPr>
            <w:r w:rsidRPr="00884A71">
              <w:rPr>
                <w:rFonts w:ascii="Times New Roman" w:hAnsi="Times New Roman" w:cs="Times New Roman"/>
                <w:b/>
                <w:sz w:val="16"/>
                <w:szCs w:val="16"/>
              </w:rPr>
              <w:t>101</w:t>
            </w:r>
          </w:p>
        </w:tc>
        <w:tc>
          <w:tcPr>
            <w:tcW w:w="364" w:type="pct"/>
            <w:tcBorders>
              <w:top w:val="single" w:sz="4" w:space="0" w:color="000000"/>
              <w:left w:val="single" w:sz="4" w:space="0" w:color="000000"/>
              <w:bottom w:val="single" w:sz="4" w:space="0" w:color="000000"/>
              <w:right w:val="single" w:sz="4" w:space="0" w:color="000000"/>
            </w:tcBorders>
          </w:tcPr>
          <w:p w14:paraId="1F4E6E1C"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178</w:t>
            </w:r>
          </w:p>
        </w:tc>
        <w:tc>
          <w:tcPr>
            <w:tcW w:w="323" w:type="pct"/>
            <w:tcBorders>
              <w:top w:val="single" w:sz="4" w:space="0" w:color="000000"/>
              <w:left w:val="single" w:sz="4" w:space="0" w:color="000000"/>
              <w:bottom w:val="single" w:sz="4" w:space="0" w:color="000000"/>
              <w:right w:val="single" w:sz="4" w:space="0" w:color="000000"/>
            </w:tcBorders>
          </w:tcPr>
          <w:p w14:paraId="1EE2F101"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46</w:t>
            </w:r>
          </w:p>
        </w:tc>
        <w:tc>
          <w:tcPr>
            <w:tcW w:w="455" w:type="pct"/>
            <w:tcBorders>
              <w:top w:val="single" w:sz="4" w:space="0" w:color="000000"/>
              <w:left w:val="single" w:sz="4" w:space="0" w:color="000000"/>
              <w:bottom w:val="single" w:sz="4" w:space="0" w:color="000000"/>
              <w:right w:val="single" w:sz="4" w:space="0" w:color="000000"/>
            </w:tcBorders>
          </w:tcPr>
          <w:p w14:paraId="03447C1F"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104</w:t>
            </w:r>
          </w:p>
        </w:tc>
        <w:tc>
          <w:tcPr>
            <w:tcW w:w="323" w:type="pct"/>
            <w:tcBorders>
              <w:top w:val="single" w:sz="4" w:space="0" w:color="000000"/>
              <w:left w:val="single" w:sz="4" w:space="0" w:color="000000"/>
              <w:bottom w:val="single" w:sz="4" w:space="0" w:color="000000"/>
              <w:right w:val="single" w:sz="4" w:space="0" w:color="000000"/>
            </w:tcBorders>
          </w:tcPr>
          <w:p w14:paraId="755A730C"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117</w:t>
            </w:r>
          </w:p>
        </w:tc>
        <w:tc>
          <w:tcPr>
            <w:tcW w:w="323" w:type="pct"/>
            <w:tcBorders>
              <w:top w:val="single" w:sz="4" w:space="0" w:color="000000"/>
              <w:left w:val="single" w:sz="4" w:space="0" w:color="000000"/>
              <w:bottom w:val="single" w:sz="4" w:space="0" w:color="000000"/>
              <w:right w:val="single" w:sz="4" w:space="0" w:color="000000"/>
            </w:tcBorders>
          </w:tcPr>
          <w:p w14:paraId="29FC7FA3"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64</w:t>
            </w:r>
          </w:p>
        </w:tc>
        <w:tc>
          <w:tcPr>
            <w:tcW w:w="588" w:type="pct"/>
            <w:tcBorders>
              <w:top w:val="single" w:sz="4" w:space="0" w:color="000000"/>
              <w:left w:val="single" w:sz="4" w:space="0" w:color="000000"/>
              <w:bottom w:val="single" w:sz="4" w:space="0" w:color="000000"/>
              <w:right w:val="single" w:sz="4" w:space="0" w:color="000000"/>
            </w:tcBorders>
          </w:tcPr>
          <w:p w14:paraId="56B94663"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162</w:t>
            </w:r>
          </w:p>
        </w:tc>
        <w:tc>
          <w:tcPr>
            <w:tcW w:w="512" w:type="pct"/>
            <w:tcBorders>
              <w:top w:val="single" w:sz="4" w:space="0" w:color="000000"/>
              <w:left w:val="single" w:sz="4" w:space="0" w:color="000000"/>
              <w:bottom w:val="single" w:sz="4" w:space="0" w:color="000000"/>
              <w:right w:val="single" w:sz="4" w:space="0" w:color="000000"/>
            </w:tcBorders>
          </w:tcPr>
          <w:p w14:paraId="1CCE2A52"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11</w:t>
            </w:r>
          </w:p>
        </w:tc>
      </w:tr>
      <w:tr w:rsidR="00A1205E" w:rsidRPr="00884A71" w14:paraId="5B7E2ADD" w14:textId="77777777" w:rsidTr="001000BC">
        <w:trPr>
          <w:trHeight w:val="543"/>
        </w:trPr>
        <w:tc>
          <w:tcPr>
            <w:tcW w:w="867" w:type="pct"/>
            <w:tcBorders>
              <w:top w:val="single" w:sz="4" w:space="0" w:color="000000"/>
              <w:bottom w:val="single" w:sz="4" w:space="0" w:color="000000"/>
              <w:right w:val="single" w:sz="4" w:space="0" w:color="000000"/>
            </w:tcBorders>
          </w:tcPr>
          <w:p w14:paraId="524C1D5B" w14:textId="77777777" w:rsidR="00A1205E" w:rsidRPr="00884A71" w:rsidRDefault="00A1205E" w:rsidP="001000BC">
            <w:pPr>
              <w:adjustRightInd w:val="0"/>
              <w:snapToGrid w:val="0"/>
              <w:spacing w:after="0" w:line="240" w:lineRule="auto"/>
              <w:jc w:val="both"/>
              <w:rPr>
                <w:rFonts w:ascii="Times New Roman" w:hAnsi="Times New Roman" w:cs="Times New Roman"/>
                <w:b/>
                <w:i/>
                <w:sz w:val="16"/>
                <w:szCs w:val="16"/>
              </w:rPr>
            </w:pPr>
            <w:r w:rsidRPr="00884A71">
              <w:rPr>
                <w:rFonts w:ascii="Times New Roman" w:hAnsi="Times New Roman" w:cs="Times New Roman"/>
                <w:b/>
                <w:i/>
                <w:sz w:val="16"/>
                <w:szCs w:val="16"/>
              </w:rPr>
              <w:t>Україна</w:t>
            </w:r>
          </w:p>
        </w:tc>
        <w:tc>
          <w:tcPr>
            <w:tcW w:w="798" w:type="pct"/>
            <w:tcBorders>
              <w:top w:val="single" w:sz="4" w:space="0" w:color="000000"/>
              <w:left w:val="single" w:sz="4" w:space="0" w:color="000000"/>
              <w:bottom w:val="single" w:sz="4" w:space="0" w:color="000000"/>
              <w:right w:val="single" w:sz="4" w:space="0" w:color="000000"/>
            </w:tcBorders>
          </w:tcPr>
          <w:p w14:paraId="4D0F127C" w14:textId="77777777" w:rsidR="00A1205E" w:rsidRPr="00884A71" w:rsidRDefault="00A1205E" w:rsidP="001000BC">
            <w:pPr>
              <w:adjustRightInd w:val="0"/>
              <w:snapToGrid w:val="0"/>
              <w:spacing w:after="0" w:line="240" w:lineRule="auto"/>
              <w:jc w:val="both"/>
              <w:rPr>
                <w:rFonts w:ascii="Times New Roman" w:hAnsi="Times New Roman" w:cs="Times New Roman"/>
                <w:b/>
                <w:i/>
                <w:sz w:val="16"/>
                <w:szCs w:val="16"/>
              </w:rPr>
            </w:pPr>
            <w:r w:rsidRPr="00884A71">
              <w:rPr>
                <w:rFonts w:ascii="Times New Roman" w:hAnsi="Times New Roman" w:cs="Times New Roman"/>
                <w:b/>
                <w:i/>
                <w:sz w:val="16"/>
                <w:szCs w:val="16"/>
              </w:rPr>
              <w:t>137</w:t>
            </w:r>
          </w:p>
          <w:p w14:paraId="56450480" w14:textId="77777777" w:rsidR="00A1205E" w:rsidRPr="00884A71" w:rsidRDefault="00A1205E" w:rsidP="001000BC">
            <w:pPr>
              <w:adjustRightInd w:val="0"/>
              <w:snapToGrid w:val="0"/>
              <w:spacing w:after="0" w:line="240" w:lineRule="auto"/>
              <w:jc w:val="both"/>
              <w:rPr>
                <w:rFonts w:ascii="Times New Roman" w:hAnsi="Times New Roman" w:cs="Times New Roman"/>
                <w:b/>
                <w:i/>
                <w:sz w:val="16"/>
                <w:szCs w:val="16"/>
              </w:rPr>
            </w:pPr>
            <w:r w:rsidRPr="00884A71">
              <w:rPr>
                <w:rFonts w:ascii="Times New Roman" w:hAnsi="Times New Roman" w:cs="Times New Roman"/>
                <w:b/>
                <w:i/>
                <w:sz w:val="16"/>
                <w:szCs w:val="16"/>
              </w:rPr>
              <w:t>(152; 149)</w:t>
            </w:r>
          </w:p>
        </w:tc>
        <w:tc>
          <w:tcPr>
            <w:tcW w:w="449" w:type="pct"/>
            <w:tcBorders>
              <w:top w:val="single" w:sz="4" w:space="0" w:color="000000"/>
              <w:left w:val="single" w:sz="4" w:space="0" w:color="000000"/>
              <w:bottom w:val="single" w:sz="4" w:space="0" w:color="000000"/>
              <w:right w:val="single" w:sz="4" w:space="0" w:color="000000"/>
            </w:tcBorders>
          </w:tcPr>
          <w:p w14:paraId="30CA7A18" w14:textId="77777777" w:rsidR="00A1205E" w:rsidRPr="00884A71" w:rsidRDefault="00A1205E" w:rsidP="001000BC">
            <w:pPr>
              <w:adjustRightInd w:val="0"/>
              <w:snapToGrid w:val="0"/>
              <w:spacing w:after="0" w:line="240" w:lineRule="auto"/>
              <w:jc w:val="both"/>
              <w:rPr>
                <w:rFonts w:ascii="Times New Roman" w:hAnsi="Times New Roman" w:cs="Times New Roman"/>
                <w:b/>
                <w:i/>
                <w:sz w:val="16"/>
                <w:szCs w:val="16"/>
              </w:rPr>
            </w:pPr>
            <w:r w:rsidRPr="00884A71">
              <w:rPr>
                <w:rFonts w:ascii="Times New Roman" w:hAnsi="Times New Roman" w:cs="Times New Roman"/>
                <w:b/>
                <w:i/>
                <w:sz w:val="16"/>
                <w:szCs w:val="16"/>
              </w:rPr>
              <w:t>50</w:t>
            </w:r>
          </w:p>
          <w:p w14:paraId="62BAAB28" w14:textId="77777777" w:rsidR="00A1205E" w:rsidRPr="00884A71" w:rsidRDefault="00A1205E" w:rsidP="001000BC">
            <w:pPr>
              <w:adjustRightInd w:val="0"/>
              <w:snapToGrid w:val="0"/>
              <w:spacing w:after="0" w:line="240" w:lineRule="auto"/>
              <w:jc w:val="both"/>
              <w:rPr>
                <w:rFonts w:ascii="Times New Roman" w:hAnsi="Times New Roman" w:cs="Times New Roman"/>
                <w:b/>
                <w:i/>
                <w:sz w:val="16"/>
                <w:szCs w:val="16"/>
              </w:rPr>
            </w:pPr>
            <w:r w:rsidRPr="00884A71">
              <w:rPr>
                <w:rFonts w:ascii="Times New Roman" w:hAnsi="Times New Roman" w:cs="Times New Roman"/>
                <w:b/>
                <w:i/>
                <w:sz w:val="16"/>
                <w:szCs w:val="16"/>
              </w:rPr>
              <w:t>(112; 118)</w:t>
            </w:r>
          </w:p>
        </w:tc>
        <w:tc>
          <w:tcPr>
            <w:tcW w:w="364" w:type="pct"/>
            <w:tcBorders>
              <w:top w:val="single" w:sz="4" w:space="0" w:color="000000"/>
              <w:left w:val="single" w:sz="4" w:space="0" w:color="000000"/>
              <w:bottom w:val="single" w:sz="4" w:space="0" w:color="000000"/>
              <w:right w:val="single" w:sz="4" w:space="0" w:color="000000"/>
            </w:tcBorders>
          </w:tcPr>
          <w:p w14:paraId="2E44FF77" w14:textId="77777777" w:rsidR="00A1205E" w:rsidRPr="00884A71" w:rsidRDefault="00A1205E" w:rsidP="001000BC">
            <w:pPr>
              <w:adjustRightInd w:val="0"/>
              <w:snapToGrid w:val="0"/>
              <w:spacing w:after="0" w:line="240" w:lineRule="auto"/>
              <w:jc w:val="both"/>
              <w:rPr>
                <w:rFonts w:ascii="Times New Roman" w:hAnsi="Times New Roman" w:cs="Times New Roman"/>
                <w:b/>
                <w:i/>
                <w:sz w:val="16"/>
                <w:szCs w:val="16"/>
              </w:rPr>
            </w:pPr>
            <w:r w:rsidRPr="00884A71">
              <w:rPr>
                <w:rFonts w:ascii="Times New Roman" w:hAnsi="Times New Roman" w:cs="Times New Roman"/>
                <w:b/>
                <w:i/>
                <w:sz w:val="16"/>
                <w:szCs w:val="16"/>
              </w:rPr>
              <w:t>183</w:t>
            </w:r>
          </w:p>
          <w:p w14:paraId="28093B38" w14:textId="77777777" w:rsidR="00A1205E" w:rsidRPr="00884A71" w:rsidRDefault="00A1205E" w:rsidP="001000BC">
            <w:pPr>
              <w:adjustRightInd w:val="0"/>
              <w:snapToGrid w:val="0"/>
              <w:spacing w:after="0" w:line="240" w:lineRule="auto"/>
              <w:jc w:val="both"/>
              <w:rPr>
                <w:rFonts w:ascii="Times New Roman" w:hAnsi="Times New Roman" w:cs="Times New Roman"/>
                <w:b/>
                <w:i/>
                <w:sz w:val="16"/>
                <w:szCs w:val="16"/>
              </w:rPr>
            </w:pPr>
            <w:r w:rsidRPr="00884A71">
              <w:rPr>
                <w:rFonts w:ascii="Times New Roman" w:hAnsi="Times New Roman" w:cs="Times New Roman"/>
                <w:b/>
                <w:i/>
                <w:sz w:val="16"/>
                <w:szCs w:val="16"/>
              </w:rPr>
              <w:t>(180; 182)</w:t>
            </w:r>
          </w:p>
        </w:tc>
        <w:tc>
          <w:tcPr>
            <w:tcW w:w="323" w:type="pct"/>
            <w:tcBorders>
              <w:top w:val="single" w:sz="4" w:space="0" w:color="000000"/>
              <w:left w:val="single" w:sz="4" w:space="0" w:color="000000"/>
              <w:bottom w:val="single" w:sz="4" w:space="0" w:color="000000"/>
              <w:right w:val="single" w:sz="4" w:space="0" w:color="000000"/>
            </w:tcBorders>
          </w:tcPr>
          <w:p w14:paraId="053195A9" w14:textId="77777777" w:rsidR="00A1205E" w:rsidRPr="00884A71" w:rsidRDefault="00A1205E" w:rsidP="001000BC">
            <w:pPr>
              <w:adjustRightInd w:val="0"/>
              <w:snapToGrid w:val="0"/>
              <w:spacing w:after="0" w:line="240" w:lineRule="auto"/>
              <w:jc w:val="both"/>
              <w:rPr>
                <w:rFonts w:ascii="Times New Roman" w:hAnsi="Times New Roman" w:cs="Times New Roman"/>
                <w:b/>
                <w:i/>
                <w:sz w:val="16"/>
                <w:szCs w:val="16"/>
              </w:rPr>
            </w:pPr>
            <w:r w:rsidRPr="00884A71">
              <w:rPr>
                <w:rFonts w:ascii="Times New Roman" w:hAnsi="Times New Roman" w:cs="Times New Roman"/>
                <w:b/>
                <w:i/>
                <w:sz w:val="16"/>
                <w:szCs w:val="16"/>
              </w:rPr>
              <w:t>149</w:t>
            </w:r>
          </w:p>
          <w:p w14:paraId="5A471E5A" w14:textId="77777777" w:rsidR="00A1205E" w:rsidRPr="00884A71" w:rsidRDefault="00A1205E" w:rsidP="001000BC">
            <w:pPr>
              <w:adjustRightInd w:val="0"/>
              <w:snapToGrid w:val="0"/>
              <w:spacing w:after="0" w:line="240" w:lineRule="auto"/>
              <w:jc w:val="both"/>
              <w:rPr>
                <w:rFonts w:ascii="Times New Roman" w:hAnsi="Times New Roman" w:cs="Times New Roman"/>
                <w:b/>
                <w:i/>
                <w:sz w:val="16"/>
                <w:szCs w:val="16"/>
              </w:rPr>
            </w:pPr>
            <w:r w:rsidRPr="00884A71">
              <w:rPr>
                <w:rFonts w:ascii="Times New Roman" w:hAnsi="Times New Roman" w:cs="Times New Roman"/>
                <w:b/>
                <w:i/>
                <w:sz w:val="16"/>
                <w:szCs w:val="16"/>
              </w:rPr>
              <w:t>(166; 165)</w:t>
            </w:r>
          </w:p>
        </w:tc>
        <w:tc>
          <w:tcPr>
            <w:tcW w:w="455" w:type="pct"/>
            <w:tcBorders>
              <w:top w:val="single" w:sz="4" w:space="0" w:color="000000"/>
              <w:left w:val="single" w:sz="4" w:space="0" w:color="000000"/>
              <w:bottom w:val="single" w:sz="4" w:space="0" w:color="000000"/>
              <w:right w:val="single" w:sz="4" w:space="0" w:color="000000"/>
            </w:tcBorders>
          </w:tcPr>
          <w:p w14:paraId="7564581B" w14:textId="77777777" w:rsidR="00A1205E" w:rsidRPr="00884A71" w:rsidRDefault="00A1205E" w:rsidP="001000BC">
            <w:pPr>
              <w:adjustRightInd w:val="0"/>
              <w:snapToGrid w:val="0"/>
              <w:spacing w:after="0" w:line="240" w:lineRule="auto"/>
              <w:jc w:val="both"/>
              <w:rPr>
                <w:rFonts w:ascii="Times New Roman" w:hAnsi="Times New Roman" w:cs="Times New Roman"/>
                <w:b/>
                <w:i/>
                <w:sz w:val="16"/>
                <w:szCs w:val="16"/>
              </w:rPr>
            </w:pPr>
            <w:r w:rsidRPr="00884A71">
              <w:rPr>
                <w:rFonts w:ascii="Times New Roman" w:hAnsi="Times New Roman" w:cs="Times New Roman"/>
                <w:b/>
                <w:i/>
                <w:sz w:val="16"/>
                <w:szCs w:val="16"/>
              </w:rPr>
              <w:t>23</w:t>
            </w:r>
          </w:p>
          <w:p w14:paraId="2594F5DA" w14:textId="77777777" w:rsidR="00A1205E" w:rsidRPr="00884A71" w:rsidRDefault="00A1205E" w:rsidP="001000BC">
            <w:pPr>
              <w:adjustRightInd w:val="0"/>
              <w:snapToGrid w:val="0"/>
              <w:spacing w:after="0" w:line="240" w:lineRule="auto"/>
              <w:jc w:val="both"/>
              <w:rPr>
                <w:rFonts w:ascii="Times New Roman" w:hAnsi="Times New Roman" w:cs="Times New Roman"/>
                <w:b/>
                <w:i/>
                <w:sz w:val="16"/>
                <w:szCs w:val="16"/>
              </w:rPr>
            </w:pPr>
            <w:r w:rsidRPr="00884A71">
              <w:rPr>
                <w:rFonts w:ascii="Times New Roman" w:hAnsi="Times New Roman" w:cs="Times New Roman"/>
                <w:b/>
                <w:i/>
                <w:sz w:val="16"/>
                <w:szCs w:val="16"/>
              </w:rPr>
              <w:t>(24;21)</w:t>
            </w:r>
          </w:p>
        </w:tc>
        <w:tc>
          <w:tcPr>
            <w:tcW w:w="323" w:type="pct"/>
            <w:tcBorders>
              <w:top w:val="single" w:sz="4" w:space="0" w:color="000000"/>
              <w:left w:val="single" w:sz="4" w:space="0" w:color="000000"/>
              <w:bottom w:val="single" w:sz="4" w:space="0" w:color="000000"/>
              <w:right w:val="single" w:sz="4" w:space="0" w:color="000000"/>
            </w:tcBorders>
          </w:tcPr>
          <w:p w14:paraId="5EA8715A" w14:textId="77777777" w:rsidR="00A1205E" w:rsidRPr="00884A71" w:rsidRDefault="00A1205E" w:rsidP="001000BC">
            <w:pPr>
              <w:adjustRightInd w:val="0"/>
              <w:snapToGrid w:val="0"/>
              <w:spacing w:after="0" w:line="240" w:lineRule="auto"/>
              <w:jc w:val="both"/>
              <w:rPr>
                <w:rFonts w:ascii="Times New Roman" w:hAnsi="Times New Roman" w:cs="Times New Roman"/>
                <w:b/>
                <w:i/>
                <w:sz w:val="16"/>
                <w:szCs w:val="16"/>
              </w:rPr>
            </w:pPr>
            <w:r w:rsidRPr="00884A71">
              <w:rPr>
                <w:rFonts w:ascii="Times New Roman" w:hAnsi="Times New Roman" w:cs="Times New Roman"/>
                <w:b/>
                <w:i/>
                <w:sz w:val="16"/>
                <w:szCs w:val="16"/>
              </w:rPr>
              <w:t>117</w:t>
            </w:r>
          </w:p>
          <w:p w14:paraId="7F117CA2" w14:textId="77777777" w:rsidR="00A1205E" w:rsidRPr="00884A71" w:rsidRDefault="00A1205E" w:rsidP="001000BC">
            <w:pPr>
              <w:adjustRightInd w:val="0"/>
              <w:snapToGrid w:val="0"/>
              <w:spacing w:after="0" w:line="240" w:lineRule="auto"/>
              <w:jc w:val="both"/>
              <w:rPr>
                <w:rFonts w:ascii="Times New Roman" w:hAnsi="Times New Roman" w:cs="Times New Roman"/>
                <w:b/>
                <w:i/>
                <w:sz w:val="16"/>
                <w:szCs w:val="16"/>
              </w:rPr>
            </w:pPr>
            <w:r w:rsidRPr="00884A71">
              <w:rPr>
                <w:rFonts w:ascii="Times New Roman" w:hAnsi="Times New Roman" w:cs="Times New Roman"/>
                <w:b/>
                <w:i/>
                <w:sz w:val="16"/>
                <w:szCs w:val="16"/>
              </w:rPr>
              <w:t>(111; 108)</w:t>
            </w:r>
          </w:p>
        </w:tc>
        <w:tc>
          <w:tcPr>
            <w:tcW w:w="323" w:type="pct"/>
            <w:tcBorders>
              <w:top w:val="single" w:sz="4" w:space="0" w:color="000000"/>
              <w:left w:val="single" w:sz="4" w:space="0" w:color="000000"/>
              <w:bottom w:val="single" w:sz="4" w:space="0" w:color="000000"/>
              <w:right w:val="single" w:sz="4" w:space="0" w:color="000000"/>
            </w:tcBorders>
          </w:tcPr>
          <w:p w14:paraId="5CE7451E" w14:textId="77777777" w:rsidR="00A1205E" w:rsidRPr="00884A71" w:rsidRDefault="00A1205E" w:rsidP="001000BC">
            <w:pPr>
              <w:adjustRightInd w:val="0"/>
              <w:snapToGrid w:val="0"/>
              <w:spacing w:after="0" w:line="240" w:lineRule="auto"/>
              <w:jc w:val="both"/>
              <w:rPr>
                <w:rFonts w:ascii="Times New Roman" w:hAnsi="Times New Roman" w:cs="Times New Roman"/>
                <w:b/>
                <w:i/>
                <w:sz w:val="16"/>
                <w:szCs w:val="16"/>
              </w:rPr>
            </w:pPr>
            <w:r w:rsidRPr="00884A71">
              <w:rPr>
                <w:rFonts w:ascii="Times New Roman" w:hAnsi="Times New Roman" w:cs="Times New Roman"/>
                <w:b/>
                <w:i/>
                <w:sz w:val="16"/>
                <w:szCs w:val="16"/>
              </w:rPr>
              <w:t>165</w:t>
            </w:r>
          </w:p>
          <w:p w14:paraId="2F5369E3" w14:textId="77777777" w:rsidR="00A1205E" w:rsidRPr="00884A71" w:rsidRDefault="00A1205E" w:rsidP="001000BC">
            <w:pPr>
              <w:adjustRightInd w:val="0"/>
              <w:snapToGrid w:val="0"/>
              <w:spacing w:after="0" w:line="240" w:lineRule="auto"/>
              <w:jc w:val="both"/>
              <w:rPr>
                <w:rFonts w:ascii="Times New Roman" w:hAnsi="Times New Roman" w:cs="Times New Roman"/>
                <w:b/>
                <w:i/>
                <w:sz w:val="16"/>
                <w:szCs w:val="16"/>
              </w:rPr>
            </w:pPr>
            <w:r w:rsidRPr="00884A71">
              <w:rPr>
                <w:rFonts w:ascii="Times New Roman" w:hAnsi="Times New Roman" w:cs="Times New Roman"/>
                <w:b/>
                <w:i/>
                <w:sz w:val="16"/>
                <w:szCs w:val="16"/>
              </w:rPr>
              <w:t>(181; 181)</w:t>
            </w:r>
          </w:p>
        </w:tc>
        <w:tc>
          <w:tcPr>
            <w:tcW w:w="588" w:type="pct"/>
            <w:tcBorders>
              <w:top w:val="single" w:sz="4" w:space="0" w:color="000000"/>
              <w:left w:val="single" w:sz="4" w:space="0" w:color="000000"/>
              <w:bottom w:val="single" w:sz="4" w:space="0" w:color="000000"/>
              <w:right w:val="single" w:sz="4" w:space="0" w:color="000000"/>
            </w:tcBorders>
          </w:tcPr>
          <w:p w14:paraId="2E120913" w14:textId="77777777" w:rsidR="00A1205E" w:rsidRPr="00884A71" w:rsidRDefault="00A1205E" w:rsidP="001000BC">
            <w:pPr>
              <w:adjustRightInd w:val="0"/>
              <w:snapToGrid w:val="0"/>
              <w:spacing w:after="0" w:line="240" w:lineRule="auto"/>
              <w:jc w:val="both"/>
              <w:rPr>
                <w:rFonts w:ascii="Times New Roman" w:hAnsi="Times New Roman" w:cs="Times New Roman"/>
                <w:b/>
                <w:i/>
                <w:sz w:val="16"/>
                <w:szCs w:val="16"/>
              </w:rPr>
            </w:pPr>
            <w:r w:rsidRPr="00884A71">
              <w:rPr>
                <w:rFonts w:ascii="Times New Roman" w:hAnsi="Times New Roman" w:cs="Times New Roman"/>
                <w:b/>
                <w:i/>
                <w:sz w:val="16"/>
                <w:szCs w:val="16"/>
              </w:rPr>
              <w:t>145</w:t>
            </w:r>
          </w:p>
          <w:p w14:paraId="04F2EF0E" w14:textId="77777777" w:rsidR="00A1205E" w:rsidRPr="00884A71" w:rsidRDefault="00A1205E" w:rsidP="001000BC">
            <w:pPr>
              <w:adjustRightInd w:val="0"/>
              <w:snapToGrid w:val="0"/>
              <w:spacing w:after="0" w:line="240" w:lineRule="auto"/>
              <w:jc w:val="both"/>
              <w:rPr>
                <w:rFonts w:ascii="Times New Roman" w:hAnsi="Times New Roman" w:cs="Times New Roman"/>
                <w:b/>
                <w:i/>
                <w:sz w:val="16"/>
                <w:szCs w:val="16"/>
              </w:rPr>
            </w:pPr>
            <w:r w:rsidRPr="00884A71">
              <w:rPr>
                <w:rFonts w:ascii="Times New Roman" w:hAnsi="Times New Roman" w:cs="Times New Roman"/>
                <w:b/>
                <w:i/>
                <w:sz w:val="16"/>
                <w:szCs w:val="16"/>
              </w:rPr>
              <w:t>(140;136)</w:t>
            </w:r>
          </w:p>
        </w:tc>
        <w:tc>
          <w:tcPr>
            <w:tcW w:w="512" w:type="pct"/>
            <w:tcBorders>
              <w:top w:val="single" w:sz="4" w:space="0" w:color="000000"/>
              <w:left w:val="single" w:sz="4" w:space="0" w:color="000000"/>
              <w:bottom w:val="single" w:sz="4" w:space="0" w:color="000000"/>
              <w:right w:val="single" w:sz="4" w:space="0" w:color="000000"/>
            </w:tcBorders>
          </w:tcPr>
          <w:p w14:paraId="76C994B2" w14:textId="77777777" w:rsidR="00A1205E" w:rsidRPr="00884A71" w:rsidRDefault="00A1205E" w:rsidP="001000BC">
            <w:pPr>
              <w:adjustRightInd w:val="0"/>
              <w:snapToGrid w:val="0"/>
              <w:spacing w:after="0" w:line="240" w:lineRule="auto"/>
              <w:jc w:val="both"/>
              <w:rPr>
                <w:rFonts w:ascii="Times New Roman" w:hAnsi="Times New Roman" w:cs="Times New Roman"/>
                <w:b/>
                <w:i/>
                <w:sz w:val="16"/>
                <w:szCs w:val="16"/>
              </w:rPr>
            </w:pPr>
            <w:r w:rsidRPr="00884A71">
              <w:rPr>
                <w:rFonts w:ascii="Times New Roman" w:hAnsi="Times New Roman" w:cs="Times New Roman"/>
                <w:b/>
                <w:i/>
                <w:sz w:val="16"/>
                <w:szCs w:val="16"/>
              </w:rPr>
              <w:t>42</w:t>
            </w:r>
          </w:p>
          <w:p w14:paraId="2E5A5BBD" w14:textId="77777777" w:rsidR="00A1205E" w:rsidRPr="00884A71" w:rsidRDefault="00A1205E" w:rsidP="001000BC">
            <w:pPr>
              <w:adjustRightInd w:val="0"/>
              <w:snapToGrid w:val="0"/>
              <w:spacing w:after="0" w:line="240" w:lineRule="auto"/>
              <w:jc w:val="both"/>
              <w:rPr>
                <w:rFonts w:ascii="Times New Roman" w:hAnsi="Times New Roman" w:cs="Times New Roman"/>
                <w:b/>
                <w:i/>
                <w:sz w:val="16"/>
                <w:szCs w:val="16"/>
              </w:rPr>
            </w:pPr>
            <w:r w:rsidRPr="00884A71">
              <w:rPr>
                <w:rFonts w:ascii="Times New Roman" w:hAnsi="Times New Roman" w:cs="Times New Roman"/>
                <w:b/>
                <w:i/>
                <w:sz w:val="16"/>
                <w:szCs w:val="16"/>
              </w:rPr>
              <w:t>(44; 44)</w:t>
            </w:r>
          </w:p>
        </w:tc>
      </w:tr>
      <w:tr w:rsidR="00A1205E" w:rsidRPr="00884A71" w14:paraId="60ED7CF9" w14:textId="77777777" w:rsidTr="001000BC">
        <w:trPr>
          <w:trHeight w:val="1060"/>
        </w:trPr>
        <w:tc>
          <w:tcPr>
            <w:tcW w:w="867" w:type="pct"/>
            <w:tcBorders>
              <w:top w:val="single" w:sz="4" w:space="0" w:color="000000"/>
              <w:right w:val="single" w:sz="4" w:space="0" w:color="000000"/>
            </w:tcBorders>
          </w:tcPr>
          <w:p w14:paraId="123F4BE3"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Центральноафриканська Республіка</w:t>
            </w:r>
          </w:p>
        </w:tc>
        <w:tc>
          <w:tcPr>
            <w:tcW w:w="798" w:type="pct"/>
            <w:tcBorders>
              <w:top w:val="single" w:sz="4" w:space="0" w:color="000000"/>
              <w:left w:val="single" w:sz="4" w:space="0" w:color="000000"/>
              <w:right w:val="single" w:sz="4" w:space="0" w:color="000000"/>
            </w:tcBorders>
          </w:tcPr>
          <w:p w14:paraId="214EF0A6" w14:textId="77777777" w:rsidR="00A1205E" w:rsidRPr="00884A71" w:rsidRDefault="00A1205E" w:rsidP="001000BC">
            <w:pPr>
              <w:adjustRightInd w:val="0"/>
              <w:snapToGrid w:val="0"/>
              <w:spacing w:after="0" w:line="240" w:lineRule="auto"/>
              <w:jc w:val="both"/>
              <w:rPr>
                <w:rFonts w:ascii="Times New Roman" w:hAnsi="Times New Roman" w:cs="Times New Roman"/>
                <w:b/>
                <w:sz w:val="16"/>
                <w:szCs w:val="16"/>
              </w:rPr>
            </w:pPr>
          </w:p>
          <w:p w14:paraId="6C72D815"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185(183;183)</w:t>
            </w:r>
          </w:p>
        </w:tc>
        <w:tc>
          <w:tcPr>
            <w:tcW w:w="449" w:type="pct"/>
            <w:tcBorders>
              <w:top w:val="single" w:sz="4" w:space="0" w:color="000000"/>
              <w:left w:val="single" w:sz="4" w:space="0" w:color="000000"/>
              <w:right w:val="single" w:sz="4" w:space="0" w:color="000000"/>
            </w:tcBorders>
          </w:tcPr>
          <w:p w14:paraId="0CD89E49" w14:textId="77777777" w:rsidR="00A1205E" w:rsidRPr="00884A71" w:rsidRDefault="00A1205E" w:rsidP="001000BC">
            <w:pPr>
              <w:adjustRightInd w:val="0"/>
              <w:snapToGrid w:val="0"/>
              <w:spacing w:after="0" w:line="240" w:lineRule="auto"/>
              <w:jc w:val="both"/>
              <w:rPr>
                <w:rFonts w:ascii="Times New Roman" w:hAnsi="Times New Roman" w:cs="Times New Roman"/>
                <w:b/>
                <w:sz w:val="16"/>
                <w:szCs w:val="16"/>
              </w:rPr>
            </w:pPr>
          </w:p>
          <w:p w14:paraId="6D3D0559" w14:textId="77777777" w:rsidR="00A1205E" w:rsidRPr="00884A71" w:rsidRDefault="00A1205E" w:rsidP="001000BC">
            <w:pPr>
              <w:adjustRightInd w:val="0"/>
              <w:snapToGrid w:val="0"/>
              <w:spacing w:after="0" w:line="240" w:lineRule="auto"/>
              <w:jc w:val="both"/>
              <w:rPr>
                <w:rFonts w:ascii="Times New Roman" w:hAnsi="Times New Roman" w:cs="Times New Roman"/>
                <w:b/>
                <w:sz w:val="16"/>
                <w:szCs w:val="16"/>
              </w:rPr>
            </w:pPr>
            <w:r w:rsidRPr="00884A71">
              <w:rPr>
                <w:rFonts w:ascii="Times New Roman" w:hAnsi="Times New Roman" w:cs="Times New Roman"/>
                <w:b/>
                <w:sz w:val="16"/>
                <w:szCs w:val="16"/>
              </w:rPr>
              <w:t>170</w:t>
            </w:r>
          </w:p>
        </w:tc>
        <w:tc>
          <w:tcPr>
            <w:tcW w:w="364" w:type="pct"/>
            <w:tcBorders>
              <w:top w:val="single" w:sz="4" w:space="0" w:color="000000"/>
              <w:left w:val="single" w:sz="4" w:space="0" w:color="000000"/>
              <w:right w:val="single" w:sz="4" w:space="0" w:color="000000"/>
            </w:tcBorders>
          </w:tcPr>
          <w:p w14:paraId="59031553" w14:textId="77777777" w:rsidR="00A1205E" w:rsidRPr="00884A71" w:rsidRDefault="00A1205E" w:rsidP="001000BC">
            <w:pPr>
              <w:adjustRightInd w:val="0"/>
              <w:snapToGrid w:val="0"/>
              <w:spacing w:after="0" w:line="240" w:lineRule="auto"/>
              <w:jc w:val="both"/>
              <w:rPr>
                <w:rFonts w:ascii="Times New Roman" w:hAnsi="Times New Roman" w:cs="Times New Roman"/>
                <w:b/>
                <w:sz w:val="16"/>
                <w:szCs w:val="16"/>
              </w:rPr>
            </w:pPr>
          </w:p>
          <w:p w14:paraId="665603DE"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147</w:t>
            </w:r>
          </w:p>
        </w:tc>
        <w:tc>
          <w:tcPr>
            <w:tcW w:w="323" w:type="pct"/>
            <w:tcBorders>
              <w:top w:val="single" w:sz="4" w:space="0" w:color="000000"/>
              <w:left w:val="single" w:sz="4" w:space="0" w:color="000000"/>
              <w:right w:val="single" w:sz="4" w:space="0" w:color="000000"/>
            </w:tcBorders>
          </w:tcPr>
          <w:p w14:paraId="0CDF3903" w14:textId="77777777" w:rsidR="00A1205E" w:rsidRPr="00884A71" w:rsidRDefault="00A1205E" w:rsidP="001000BC">
            <w:pPr>
              <w:adjustRightInd w:val="0"/>
              <w:snapToGrid w:val="0"/>
              <w:spacing w:after="0" w:line="240" w:lineRule="auto"/>
              <w:jc w:val="both"/>
              <w:rPr>
                <w:rFonts w:ascii="Times New Roman" w:hAnsi="Times New Roman" w:cs="Times New Roman"/>
                <w:b/>
                <w:sz w:val="16"/>
                <w:szCs w:val="16"/>
              </w:rPr>
            </w:pPr>
          </w:p>
          <w:p w14:paraId="6A9AE800"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132</w:t>
            </w:r>
          </w:p>
        </w:tc>
        <w:tc>
          <w:tcPr>
            <w:tcW w:w="455" w:type="pct"/>
            <w:tcBorders>
              <w:top w:val="single" w:sz="4" w:space="0" w:color="000000"/>
              <w:left w:val="single" w:sz="4" w:space="0" w:color="000000"/>
              <w:right w:val="single" w:sz="4" w:space="0" w:color="000000"/>
            </w:tcBorders>
          </w:tcPr>
          <w:p w14:paraId="53C345E1" w14:textId="77777777" w:rsidR="00A1205E" w:rsidRPr="00884A71" w:rsidRDefault="00A1205E" w:rsidP="001000BC">
            <w:pPr>
              <w:adjustRightInd w:val="0"/>
              <w:snapToGrid w:val="0"/>
              <w:spacing w:after="0" w:line="240" w:lineRule="auto"/>
              <w:jc w:val="both"/>
              <w:rPr>
                <w:rFonts w:ascii="Times New Roman" w:hAnsi="Times New Roman" w:cs="Times New Roman"/>
                <w:b/>
                <w:sz w:val="16"/>
                <w:szCs w:val="16"/>
              </w:rPr>
            </w:pPr>
          </w:p>
          <w:p w14:paraId="055CA893"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104</w:t>
            </w:r>
          </w:p>
        </w:tc>
        <w:tc>
          <w:tcPr>
            <w:tcW w:w="323" w:type="pct"/>
            <w:tcBorders>
              <w:top w:val="single" w:sz="4" w:space="0" w:color="000000"/>
              <w:left w:val="single" w:sz="4" w:space="0" w:color="000000"/>
              <w:right w:val="single" w:sz="4" w:space="0" w:color="000000"/>
            </w:tcBorders>
          </w:tcPr>
          <w:p w14:paraId="4EBBCF17" w14:textId="77777777" w:rsidR="00A1205E" w:rsidRPr="00884A71" w:rsidRDefault="00A1205E" w:rsidP="001000BC">
            <w:pPr>
              <w:adjustRightInd w:val="0"/>
              <w:snapToGrid w:val="0"/>
              <w:spacing w:after="0" w:line="240" w:lineRule="auto"/>
              <w:jc w:val="both"/>
              <w:rPr>
                <w:rFonts w:ascii="Times New Roman" w:hAnsi="Times New Roman" w:cs="Times New Roman"/>
                <w:b/>
                <w:sz w:val="16"/>
                <w:szCs w:val="16"/>
              </w:rPr>
            </w:pPr>
          </w:p>
          <w:p w14:paraId="16048E55"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139</w:t>
            </w:r>
          </w:p>
        </w:tc>
        <w:tc>
          <w:tcPr>
            <w:tcW w:w="323" w:type="pct"/>
            <w:tcBorders>
              <w:top w:val="single" w:sz="4" w:space="0" w:color="000000"/>
              <w:left w:val="single" w:sz="4" w:space="0" w:color="000000"/>
              <w:right w:val="single" w:sz="4" w:space="0" w:color="000000"/>
            </w:tcBorders>
          </w:tcPr>
          <w:p w14:paraId="47D518B6" w14:textId="77777777" w:rsidR="00A1205E" w:rsidRPr="00884A71" w:rsidRDefault="00A1205E" w:rsidP="001000BC">
            <w:pPr>
              <w:adjustRightInd w:val="0"/>
              <w:snapToGrid w:val="0"/>
              <w:spacing w:after="0" w:line="240" w:lineRule="auto"/>
              <w:jc w:val="both"/>
              <w:rPr>
                <w:rFonts w:ascii="Times New Roman" w:hAnsi="Times New Roman" w:cs="Times New Roman"/>
                <w:b/>
                <w:sz w:val="16"/>
                <w:szCs w:val="16"/>
              </w:rPr>
            </w:pPr>
          </w:p>
          <w:p w14:paraId="5521E30B"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181</w:t>
            </w:r>
          </w:p>
        </w:tc>
        <w:tc>
          <w:tcPr>
            <w:tcW w:w="588" w:type="pct"/>
            <w:tcBorders>
              <w:top w:val="single" w:sz="4" w:space="0" w:color="000000"/>
              <w:left w:val="single" w:sz="4" w:space="0" w:color="000000"/>
              <w:right w:val="single" w:sz="4" w:space="0" w:color="000000"/>
            </w:tcBorders>
          </w:tcPr>
          <w:p w14:paraId="1010108A" w14:textId="77777777" w:rsidR="00A1205E" w:rsidRPr="00884A71" w:rsidRDefault="00A1205E" w:rsidP="001000BC">
            <w:pPr>
              <w:adjustRightInd w:val="0"/>
              <w:snapToGrid w:val="0"/>
              <w:spacing w:after="0" w:line="240" w:lineRule="auto"/>
              <w:jc w:val="both"/>
              <w:rPr>
                <w:rFonts w:ascii="Times New Roman" w:hAnsi="Times New Roman" w:cs="Times New Roman"/>
                <w:b/>
                <w:sz w:val="16"/>
                <w:szCs w:val="16"/>
              </w:rPr>
            </w:pPr>
          </w:p>
          <w:p w14:paraId="5357350E"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182</w:t>
            </w:r>
          </w:p>
        </w:tc>
        <w:tc>
          <w:tcPr>
            <w:tcW w:w="512" w:type="pct"/>
            <w:tcBorders>
              <w:top w:val="single" w:sz="4" w:space="0" w:color="000000"/>
              <w:left w:val="single" w:sz="4" w:space="0" w:color="000000"/>
              <w:right w:val="single" w:sz="4" w:space="0" w:color="000000"/>
            </w:tcBorders>
          </w:tcPr>
          <w:p w14:paraId="539B3965" w14:textId="77777777" w:rsidR="00A1205E" w:rsidRPr="00884A71" w:rsidRDefault="00A1205E" w:rsidP="001000BC">
            <w:pPr>
              <w:adjustRightInd w:val="0"/>
              <w:snapToGrid w:val="0"/>
              <w:spacing w:after="0" w:line="240" w:lineRule="auto"/>
              <w:jc w:val="both"/>
              <w:rPr>
                <w:rFonts w:ascii="Times New Roman" w:hAnsi="Times New Roman" w:cs="Times New Roman"/>
                <w:b/>
                <w:sz w:val="16"/>
                <w:szCs w:val="16"/>
              </w:rPr>
            </w:pPr>
          </w:p>
          <w:p w14:paraId="04F5B355" w14:textId="77777777" w:rsidR="00A1205E" w:rsidRPr="00884A71" w:rsidRDefault="00A1205E" w:rsidP="001000BC">
            <w:pPr>
              <w:adjustRightInd w:val="0"/>
              <w:snapToGrid w:val="0"/>
              <w:spacing w:after="0" w:line="240" w:lineRule="auto"/>
              <w:jc w:val="both"/>
              <w:rPr>
                <w:rFonts w:ascii="Times New Roman" w:hAnsi="Times New Roman" w:cs="Times New Roman"/>
                <w:sz w:val="16"/>
                <w:szCs w:val="16"/>
              </w:rPr>
            </w:pPr>
            <w:r w:rsidRPr="00884A71">
              <w:rPr>
                <w:rFonts w:ascii="Times New Roman" w:hAnsi="Times New Roman" w:cs="Times New Roman"/>
                <w:sz w:val="16"/>
                <w:szCs w:val="16"/>
              </w:rPr>
              <w:t>177</w:t>
            </w:r>
          </w:p>
        </w:tc>
      </w:tr>
    </w:tbl>
    <w:p w14:paraId="11E04609" w14:textId="77777777" w:rsidR="00A1205E" w:rsidRDefault="00A1205E" w:rsidP="00A1205E">
      <w:pPr>
        <w:adjustRightInd w:val="0"/>
        <w:snapToGrid w:val="0"/>
        <w:spacing w:after="0" w:line="240" w:lineRule="auto"/>
        <w:ind w:firstLine="567"/>
        <w:jc w:val="both"/>
        <w:rPr>
          <w:rFonts w:ascii="Times New Roman" w:hAnsi="Times New Roman" w:cs="Times New Roman"/>
          <w:i/>
          <w:sz w:val="16"/>
          <w:szCs w:val="16"/>
        </w:rPr>
      </w:pPr>
    </w:p>
    <w:p w14:paraId="63EB781F" w14:textId="77777777" w:rsidR="00A1205E" w:rsidRDefault="00A1205E" w:rsidP="00A1205E">
      <w:pPr>
        <w:adjustRightInd w:val="0"/>
        <w:snapToGrid w:val="0"/>
        <w:spacing w:after="0" w:line="240" w:lineRule="auto"/>
        <w:ind w:firstLine="567"/>
        <w:jc w:val="both"/>
        <w:rPr>
          <w:rFonts w:ascii="Times New Roman" w:hAnsi="Times New Roman" w:cs="Times New Roman"/>
          <w:sz w:val="20"/>
          <w:szCs w:val="20"/>
        </w:rPr>
      </w:pPr>
    </w:p>
    <w:p w14:paraId="5B6C2795" w14:textId="77777777" w:rsidR="00A1205E" w:rsidRPr="00CB5DE3" w:rsidRDefault="00A1205E" w:rsidP="00A1205E">
      <w:pPr>
        <w:adjustRightInd w:val="0"/>
        <w:snapToGrid w:val="0"/>
        <w:spacing w:after="0" w:line="240" w:lineRule="auto"/>
        <w:ind w:firstLine="567"/>
        <w:jc w:val="both"/>
        <w:rPr>
          <w:rFonts w:ascii="Times New Roman" w:hAnsi="Times New Roman" w:cs="Times New Roman"/>
          <w:sz w:val="20"/>
          <w:szCs w:val="20"/>
        </w:rPr>
      </w:pPr>
      <w:r w:rsidRPr="00CB5DE3">
        <w:rPr>
          <w:rFonts w:ascii="Times New Roman" w:hAnsi="Times New Roman" w:cs="Times New Roman"/>
          <w:sz w:val="20"/>
          <w:szCs w:val="20"/>
        </w:rPr>
        <w:lastRenderedPageBreak/>
        <w:t>Економіка, в основу якої покладений інноваційний тип господарювання, дозволяє створити значно більше можливостей для формування досконалих систем виробництва і споживання й забезпечити радикальне поліпшення еколого-демографічного складника економічної безпеки як важливого фактора підтримання сталого розвитку країни.</w:t>
      </w:r>
    </w:p>
    <w:p w14:paraId="5F3775AA" w14:textId="77777777" w:rsidR="00A1205E" w:rsidRPr="00CB5DE3" w:rsidRDefault="00A1205E" w:rsidP="00A1205E">
      <w:pPr>
        <w:adjustRightInd w:val="0"/>
        <w:snapToGrid w:val="0"/>
        <w:spacing w:after="0" w:line="240" w:lineRule="auto"/>
        <w:ind w:firstLine="567"/>
        <w:jc w:val="both"/>
        <w:rPr>
          <w:rFonts w:ascii="Times New Roman" w:hAnsi="Times New Roman" w:cs="Times New Roman"/>
          <w:sz w:val="20"/>
          <w:szCs w:val="20"/>
        </w:rPr>
      </w:pPr>
      <w:r w:rsidRPr="00CB5DE3">
        <w:rPr>
          <w:rFonts w:ascii="Times New Roman" w:hAnsi="Times New Roman" w:cs="Times New Roman"/>
          <w:sz w:val="20"/>
          <w:szCs w:val="20"/>
        </w:rPr>
        <w:t>З огляду на це, упровадження «зеленого» бізнесу в Україні сприятиме розв’язанню багатьох еколого-економічних проблем, що сьогодні стримують економічне зростання в країні. Становлення цього напряму діяльності може дати ряд економічних вигод, як-то: створення нових робочих місць; збільшення надходжень до бюджету за рахунок зростання кількості підприємств та обсягів виробництва; вихід на нові світові ринки збуту, де ще не сформувалися конкурентні відносини, тощо. Крім того, упровадження «зеленого» бізнесу сприятиме надходженню іноземного капіталу у вітчизняну економіку. На сьогодні в нашій країні найбільш розвинутими є такі напрями «зеленого» бізнесу: виробництво біопалива; виробництво сонячних панелей; виробництво паливних гранул із відходів (пеллет); виробництво електроенергії на мініТЕС; вітрова енергетика.</w:t>
      </w:r>
    </w:p>
    <w:p w14:paraId="6DA9E23B" w14:textId="77777777" w:rsidR="00A1205E" w:rsidRPr="00CB5DE3" w:rsidRDefault="00A1205E" w:rsidP="00A1205E">
      <w:pPr>
        <w:adjustRightInd w:val="0"/>
        <w:snapToGrid w:val="0"/>
        <w:spacing w:after="0" w:line="240" w:lineRule="auto"/>
        <w:ind w:firstLine="567"/>
        <w:jc w:val="both"/>
        <w:rPr>
          <w:rFonts w:ascii="Times New Roman" w:hAnsi="Times New Roman" w:cs="Times New Roman"/>
          <w:sz w:val="20"/>
          <w:szCs w:val="20"/>
        </w:rPr>
      </w:pPr>
      <w:r w:rsidRPr="00CB5DE3">
        <w:rPr>
          <w:rFonts w:ascii="Times New Roman" w:hAnsi="Times New Roman" w:cs="Times New Roman"/>
          <w:sz w:val="20"/>
          <w:szCs w:val="20"/>
        </w:rPr>
        <w:t xml:space="preserve">На сьогодні в Україні активно розвиваються ті напрями «зеленого» бізнесу, що мають розроблені й затверджені на законодавчому рівні нормативно-правові засади діяльності. Досить активно розвиваються також напрями ЗБ, орієнтовані на експорт. Інші сфери «зеленого» бізнесу перебувають на етапі заснування через брак </w:t>
      </w:r>
      <w:r w:rsidRPr="00CB5DE3">
        <w:rPr>
          <w:rFonts w:ascii="Times New Roman" w:hAnsi="Times New Roman" w:cs="Times New Roman"/>
          <w:b/>
          <w:sz w:val="20"/>
          <w:szCs w:val="20"/>
        </w:rPr>
        <w:t>фінансових ресурсів</w:t>
      </w:r>
      <w:r w:rsidRPr="00CB5DE3">
        <w:rPr>
          <w:rFonts w:ascii="Times New Roman" w:hAnsi="Times New Roman" w:cs="Times New Roman"/>
          <w:sz w:val="20"/>
          <w:szCs w:val="20"/>
        </w:rPr>
        <w:t>, відсутність нормативно-правового підґрунтя та неефективність державної екологічної політики.</w:t>
      </w:r>
    </w:p>
    <w:p w14:paraId="2958EBB8" w14:textId="5944DDAF" w:rsidR="00A1205E" w:rsidRPr="00CB5DE3" w:rsidRDefault="00A1205E" w:rsidP="00A1205E">
      <w:pPr>
        <w:adjustRightInd w:val="0"/>
        <w:snapToGrid w:val="0"/>
        <w:spacing w:after="0" w:line="240" w:lineRule="auto"/>
        <w:ind w:firstLine="567"/>
        <w:jc w:val="both"/>
        <w:rPr>
          <w:rFonts w:ascii="Times New Roman" w:hAnsi="Times New Roman" w:cs="Times New Roman"/>
          <w:sz w:val="20"/>
          <w:szCs w:val="20"/>
        </w:rPr>
      </w:pPr>
      <w:r w:rsidRPr="00CB5DE3">
        <w:rPr>
          <w:rFonts w:ascii="Times New Roman" w:hAnsi="Times New Roman" w:cs="Times New Roman"/>
          <w:sz w:val="20"/>
          <w:szCs w:val="20"/>
        </w:rPr>
        <w:t xml:space="preserve">У 2017 р. Україна </w:t>
      </w:r>
      <w:r w:rsidRPr="00CB5DE3">
        <w:rPr>
          <w:rFonts w:ascii="Times New Roman" w:hAnsi="Times New Roman" w:cs="Times New Roman"/>
          <w:b/>
          <w:sz w:val="20"/>
          <w:szCs w:val="20"/>
        </w:rPr>
        <w:t>за індексом легкості ведення бізнесу (Doing Business)</w:t>
      </w:r>
      <w:r w:rsidRPr="00CB5DE3">
        <w:rPr>
          <w:rFonts w:ascii="Times New Roman" w:hAnsi="Times New Roman" w:cs="Times New Roman"/>
          <w:sz w:val="20"/>
          <w:szCs w:val="20"/>
        </w:rPr>
        <w:t xml:space="preserve">, який оцінює ступінь сприятливості правових норм країни для підприємницької діяльності та захисту прав власності, поліпшила за рік свої показники й посіла 80-е місце рейтингу, розташувавшись між Сан-Марино та Боснією і Герцеговиною. Проте варто зазначити, що покращення частково відбулися завдяки методологічним змінам, зокрема введенню гендерної компоненти та розширенню показників у сфері оподаткування (табл. </w:t>
      </w:r>
      <w:r w:rsidR="00D21417">
        <w:rPr>
          <w:rFonts w:ascii="Times New Roman" w:hAnsi="Times New Roman" w:cs="Times New Roman"/>
          <w:sz w:val="20"/>
          <w:szCs w:val="20"/>
        </w:rPr>
        <w:t>8</w:t>
      </w:r>
      <w:r w:rsidRPr="00CB5DE3">
        <w:rPr>
          <w:rFonts w:ascii="Times New Roman" w:hAnsi="Times New Roman" w:cs="Times New Roman"/>
          <w:sz w:val="20"/>
          <w:szCs w:val="20"/>
        </w:rPr>
        <w:t>.2).</w:t>
      </w:r>
    </w:p>
    <w:p w14:paraId="5357B61A" w14:textId="77777777" w:rsidR="00A1205E" w:rsidRPr="00CB5DE3" w:rsidRDefault="00A1205E" w:rsidP="00A1205E">
      <w:pPr>
        <w:adjustRightInd w:val="0"/>
        <w:snapToGrid w:val="0"/>
        <w:spacing w:after="0" w:line="240" w:lineRule="auto"/>
        <w:ind w:firstLine="567"/>
        <w:jc w:val="both"/>
        <w:rPr>
          <w:rFonts w:ascii="Times New Roman" w:hAnsi="Times New Roman" w:cs="Times New Roman"/>
          <w:sz w:val="20"/>
          <w:szCs w:val="20"/>
        </w:rPr>
      </w:pPr>
      <w:r w:rsidRPr="00CB5DE3">
        <w:rPr>
          <w:rFonts w:ascii="Times New Roman" w:hAnsi="Times New Roman" w:cs="Times New Roman"/>
          <w:sz w:val="20"/>
          <w:szCs w:val="20"/>
        </w:rPr>
        <w:t>Сьогодні потенційними інвесторами в цьому напрямку можна вважати міжнародні організації, що вже активно вкладають кошти в розвиток ЗБ в Україні.</w:t>
      </w:r>
    </w:p>
    <w:p w14:paraId="66F1EF7D" w14:textId="77777777" w:rsidR="00A1205E" w:rsidRPr="00CB5DE3" w:rsidRDefault="00A1205E" w:rsidP="00A1205E">
      <w:pPr>
        <w:adjustRightInd w:val="0"/>
        <w:snapToGrid w:val="0"/>
        <w:spacing w:after="0" w:line="240" w:lineRule="auto"/>
        <w:ind w:firstLine="567"/>
        <w:jc w:val="both"/>
        <w:rPr>
          <w:rFonts w:ascii="Times New Roman" w:hAnsi="Times New Roman" w:cs="Times New Roman"/>
          <w:sz w:val="20"/>
          <w:szCs w:val="20"/>
        </w:rPr>
      </w:pPr>
      <w:r w:rsidRPr="00CB5DE3">
        <w:rPr>
          <w:rFonts w:ascii="Times New Roman" w:hAnsi="Times New Roman" w:cs="Times New Roman"/>
          <w:sz w:val="20"/>
          <w:szCs w:val="20"/>
        </w:rPr>
        <w:t>Зазначене свідчить, що загальний внесок іноземних інвесторів у розвиток</w:t>
      </w:r>
      <w:r>
        <w:rPr>
          <w:rFonts w:ascii="Times New Roman" w:hAnsi="Times New Roman" w:cs="Times New Roman"/>
          <w:sz w:val="20"/>
          <w:szCs w:val="20"/>
        </w:rPr>
        <w:t xml:space="preserve"> </w:t>
      </w:r>
      <w:r w:rsidRPr="00CB5DE3">
        <w:rPr>
          <w:rFonts w:ascii="Times New Roman" w:hAnsi="Times New Roman" w:cs="Times New Roman"/>
          <w:sz w:val="20"/>
          <w:szCs w:val="20"/>
        </w:rPr>
        <w:t>«зеленого» бізнесу в Україні становить більш ніж 2 млрд грн.</w:t>
      </w:r>
    </w:p>
    <w:p w14:paraId="6A7D8BC3" w14:textId="77777777" w:rsidR="00A1205E" w:rsidRPr="00CB5DE3" w:rsidRDefault="00A1205E" w:rsidP="00A1205E">
      <w:pPr>
        <w:adjustRightInd w:val="0"/>
        <w:snapToGrid w:val="0"/>
        <w:spacing w:after="0" w:line="240" w:lineRule="auto"/>
        <w:ind w:firstLine="567"/>
        <w:jc w:val="both"/>
        <w:rPr>
          <w:rFonts w:ascii="Times New Roman" w:hAnsi="Times New Roman" w:cs="Times New Roman"/>
          <w:sz w:val="20"/>
          <w:szCs w:val="20"/>
        </w:rPr>
      </w:pPr>
      <w:r w:rsidRPr="00CB5DE3">
        <w:rPr>
          <w:rFonts w:ascii="Times New Roman" w:hAnsi="Times New Roman" w:cs="Times New Roman"/>
          <w:sz w:val="20"/>
          <w:szCs w:val="20"/>
        </w:rPr>
        <w:t>Вкладення таких значних фінансових ресурсів у вітчизняний ЗБ свідчить про те, що цей інвестиційний напрям є привабливим для інвесторів і має достатню норму прибутку. Разом з тим, за даними Глобального звіту про конкурентоспроможність Всесвітнього економічного форуму в Давосі, Україна за рівнем оснащеності новими технологіями</w:t>
      </w:r>
    </w:p>
    <w:p w14:paraId="6D67B39E" w14:textId="77777777" w:rsidR="00A1205E" w:rsidRDefault="00A1205E" w:rsidP="00A1205E">
      <w:pPr>
        <w:adjustRightInd w:val="0"/>
        <w:snapToGrid w:val="0"/>
        <w:spacing w:after="0" w:line="240" w:lineRule="auto"/>
        <w:ind w:firstLine="567"/>
        <w:jc w:val="both"/>
        <w:rPr>
          <w:rFonts w:ascii="Times New Roman" w:hAnsi="Times New Roman" w:cs="Times New Roman"/>
          <w:sz w:val="20"/>
          <w:szCs w:val="20"/>
        </w:rPr>
      </w:pPr>
    </w:p>
    <w:p w14:paraId="3E62B74C" w14:textId="77777777" w:rsidR="00A1205E" w:rsidRDefault="00A1205E" w:rsidP="00A1205E">
      <w:pPr>
        <w:adjustRightInd w:val="0"/>
        <w:snapToGrid w:val="0"/>
        <w:spacing w:after="0" w:line="240" w:lineRule="auto"/>
        <w:ind w:firstLine="567"/>
        <w:jc w:val="both"/>
        <w:rPr>
          <w:rFonts w:ascii="Times New Roman" w:hAnsi="Times New Roman" w:cs="Times New Roman"/>
          <w:sz w:val="20"/>
          <w:szCs w:val="20"/>
        </w:rPr>
      </w:pPr>
    </w:p>
    <w:p w14:paraId="55408207" w14:textId="77777777" w:rsidR="00662914" w:rsidRDefault="00662914" w:rsidP="00A1205E">
      <w:pPr>
        <w:adjustRightInd w:val="0"/>
        <w:snapToGrid w:val="0"/>
        <w:spacing w:after="0" w:line="240" w:lineRule="auto"/>
        <w:ind w:firstLine="567"/>
        <w:jc w:val="both"/>
        <w:rPr>
          <w:rFonts w:ascii="Times New Roman" w:hAnsi="Times New Roman" w:cs="Times New Roman"/>
          <w:sz w:val="20"/>
          <w:szCs w:val="20"/>
        </w:rPr>
      </w:pPr>
    </w:p>
    <w:p w14:paraId="0C148AFA" w14:textId="77777777" w:rsidR="00662914" w:rsidRDefault="00662914" w:rsidP="00A1205E">
      <w:pPr>
        <w:adjustRightInd w:val="0"/>
        <w:snapToGrid w:val="0"/>
        <w:spacing w:after="0" w:line="240" w:lineRule="auto"/>
        <w:ind w:firstLine="567"/>
        <w:jc w:val="both"/>
        <w:rPr>
          <w:rFonts w:ascii="Times New Roman" w:hAnsi="Times New Roman" w:cs="Times New Roman"/>
          <w:sz w:val="20"/>
          <w:szCs w:val="20"/>
        </w:rPr>
      </w:pPr>
    </w:p>
    <w:p w14:paraId="6C1EC509" w14:textId="13466859" w:rsidR="00A1205E" w:rsidRPr="006A6844" w:rsidRDefault="00A1205E" w:rsidP="00D21417">
      <w:pPr>
        <w:adjustRightInd w:val="0"/>
        <w:snapToGrid w:val="0"/>
        <w:spacing w:after="0" w:line="240" w:lineRule="auto"/>
        <w:ind w:firstLine="567"/>
        <w:jc w:val="right"/>
        <w:rPr>
          <w:rFonts w:ascii="Times New Roman" w:hAnsi="Times New Roman" w:cs="Times New Roman"/>
          <w:sz w:val="20"/>
          <w:szCs w:val="20"/>
        </w:rPr>
      </w:pPr>
      <w:r w:rsidRPr="006A6844">
        <w:rPr>
          <w:rFonts w:ascii="Times New Roman" w:hAnsi="Times New Roman" w:cs="Times New Roman"/>
          <w:sz w:val="20"/>
          <w:szCs w:val="20"/>
        </w:rPr>
        <w:t xml:space="preserve">Таблиця </w:t>
      </w:r>
      <w:r w:rsidR="00D21417">
        <w:rPr>
          <w:rFonts w:ascii="Times New Roman" w:hAnsi="Times New Roman" w:cs="Times New Roman"/>
          <w:sz w:val="20"/>
          <w:szCs w:val="20"/>
        </w:rPr>
        <w:t>8</w:t>
      </w:r>
      <w:r w:rsidRPr="006A6844">
        <w:rPr>
          <w:rFonts w:ascii="Times New Roman" w:hAnsi="Times New Roman" w:cs="Times New Roman"/>
          <w:sz w:val="20"/>
          <w:szCs w:val="20"/>
        </w:rPr>
        <w:t>.2</w:t>
      </w:r>
    </w:p>
    <w:p w14:paraId="2322C3F3" w14:textId="0A90CCB6" w:rsidR="00A1205E" w:rsidRPr="00662914" w:rsidRDefault="00A1205E" w:rsidP="00662914">
      <w:pPr>
        <w:adjustRightInd w:val="0"/>
        <w:snapToGrid w:val="0"/>
        <w:spacing w:after="0" w:line="240" w:lineRule="auto"/>
        <w:ind w:firstLine="567"/>
        <w:jc w:val="both"/>
        <w:rPr>
          <w:rFonts w:ascii="Times New Roman" w:hAnsi="Times New Roman" w:cs="Times New Roman"/>
          <w:sz w:val="20"/>
          <w:szCs w:val="20"/>
        </w:rPr>
      </w:pPr>
      <w:r w:rsidRPr="006A6844">
        <w:rPr>
          <w:rFonts w:ascii="Times New Roman" w:hAnsi="Times New Roman" w:cs="Times New Roman"/>
          <w:sz w:val="20"/>
          <w:szCs w:val="20"/>
        </w:rPr>
        <w:t>Рейтинг України за складниками індексу ведення бізнесу у доповідях за 2013-2017 рр.</w:t>
      </w:r>
    </w:p>
    <w:tbl>
      <w:tblPr>
        <w:tblpPr w:leftFromText="180" w:rightFromText="180" w:vertAnchor="page" w:horzAnchor="margin" w:tblpY="1341"/>
        <w:tblW w:w="6543" w:type="dxa"/>
        <w:tblBorders>
          <w:top w:val="single" w:sz="18" w:space="0" w:color="007B3A"/>
          <w:left w:val="single" w:sz="18" w:space="0" w:color="007B3A"/>
          <w:bottom w:val="single" w:sz="18" w:space="0" w:color="007B3A"/>
          <w:right w:val="single" w:sz="18" w:space="0" w:color="007B3A"/>
          <w:insideH w:val="single" w:sz="18" w:space="0" w:color="007B3A"/>
          <w:insideV w:val="single" w:sz="18" w:space="0" w:color="007B3A"/>
        </w:tblBorders>
        <w:tblLayout w:type="fixed"/>
        <w:tblCellMar>
          <w:left w:w="0" w:type="dxa"/>
          <w:right w:w="0" w:type="dxa"/>
        </w:tblCellMar>
        <w:tblLook w:val="01E0" w:firstRow="1" w:lastRow="1" w:firstColumn="1" w:lastColumn="1" w:noHBand="0" w:noVBand="0"/>
      </w:tblPr>
      <w:tblGrid>
        <w:gridCol w:w="1553"/>
        <w:gridCol w:w="586"/>
        <w:gridCol w:w="518"/>
        <w:gridCol w:w="417"/>
        <w:gridCol w:w="598"/>
        <w:gridCol w:w="498"/>
        <w:gridCol w:w="629"/>
        <w:gridCol w:w="398"/>
        <w:gridCol w:w="717"/>
        <w:gridCol w:w="629"/>
      </w:tblGrid>
      <w:tr w:rsidR="00662914" w:rsidRPr="00853A21" w14:paraId="21C76AF8" w14:textId="77777777" w:rsidTr="00662914">
        <w:trPr>
          <w:trHeight w:val="704"/>
        </w:trPr>
        <w:tc>
          <w:tcPr>
            <w:tcW w:w="1553" w:type="dxa"/>
            <w:tcBorders>
              <w:bottom w:val="single" w:sz="4" w:space="0" w:color="000000"/>
              <w:right w:val="single" w:sz="4" w:space="0" w:color="000000"/>
            </w:tcBorders>
            <w:shd w:val="clear" w:color="auto" w:fill="007B3A"/>
            <w:vAlign w:val="center"/>
          </w:tcPr>
          <w:p w14:paraId="3C3F5DD6"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Показники</w:t>
            </w:r>
          </w:p>
        </w:tc>
        <w:tc>
          <w:tcPr>
            <w:tcW w:w="586" w:type="dxa"/>
            <w:tcBorders>
              <w:left w:val="single" w:sz="4" w:space="0" w:color="000000"/>
              <w:bottom w:val="single" w:sz="4" w:space="0" w:color="000000"/>
              <w:right w:val="single" w:sz="4" w:space="0" w:color="000000"/>
            </w:tcBorders>
            <w:shd w:val="clear" w:color="auto" w:fill="007B3A"/>
            <w:vAlign w:val="center"/>
          </w:tcPr>
          <w:p w14:paraId="65FF9E8D"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2013</w:t>
            </w:r>
          </w:p>
        </w:tc>
        <w:tc>
          <w:tcPr>
            <w:tcW w:w="518" w:type="dxa"/>
            <w:tcBorders>
              <w:left w:val="single" w:sz="4" w:space="0" w:color="000000"/>
              <w:bottom w:val="single" w:sz="4" w:space="0" w:color="000000"/>
              <w:right w:val="single" w:sz="4" w:space="0" w:color="000000"/>
            </w:tcBorders>
            <w:shd w:val="clear" w:color="auto" w:fill="007B3A"/>
            <w:vAlign w:val="center"/>
          </w:tcPr>
          <w:p w14:paraId="1A726FD3"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Зміна</w:t>
            </w:r>
          </w:p>
        </w:tc>
        <w:tc>
          <w:tcPr>
            <w:tcW w:w="417" w:type="dxa"/>
            <w:tcBorders>
              <w:left w:val="single" w:sz="4" w:space="0" w:color="000000"/>
              <w:bottom w:val="single" w:sz="4" w:space="0" w:color="000000"/>
              <w:right w:val="single" w:sz="4" w:space="0" w:color="000000"/>
            </w:tcBorders>
            <w:shd w:val="clear" w:color="auto" w:fill="007B3A"/>
            <w:vAlign w:val="center"/>
          </w:tcPr>
          <w:p w14:paraId="3338BB02"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2014</w:t>
            </w:r>
          </w:p>
        </w:tc>
        <w:tc>
          <w:tcPr>
            <w:tcW w:w="598" w:type="dxa"/>
            <w:tcBorders>
              <w:left w:val="single" w:sz="4" w:space="0" w:color="000000"/>
              <w:bottom w:val="single" w:sz="4" w:space="0" w:color="000000"/>
              <w:right w:val="single" w:sz="4" w:space="0" w:color="000000"/>
            </w:tcBorders>
            <w:shd w:val="clear" w:color="auto" w:fill="007B3A"/>
            <w:vAlign w:val="center"/>
          </w:tcPr>
          <w:p w14:paraId="226B0EE6"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Зміна</w:t>
            </w:r>
          </w:p>
        </w:tc>
        <w:tc>
          <w:tcPr>
            <w:tcW w:w="498" w:type="dxa"/>
            <w:tcBorders>
              <w:left w:val="single" w:sz="4" w:space="0" w:color="000000"/>
              <w:bottom w:val="single" w:sz="4" w:space="0" w:color="000000"/>
              <w:right w:val="single" w:sz="4" w:space="0" w:color="000000"/>
            </w:tcBorders>
            <w:shd w:val="clear" w:color="auto" w:fill="007B3A"/>
            <w:vAlign w:val="center"/>
          </w:tcPr>
          <w:p w14:paraId="002758DD"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2015</w:t>
            </w:r>
          </w:p>
        </w:tc>
        <w:tc>
          <w:tcPr>
            <w:tcW w:w="629" w:type="dxa"/>
            <w:tcBorders>
              <w:left w:val="single" w:sz="4" w:space="0" w:color="000000"/>
              <w:bottom w:val="single" w:sz="4" w:space="0" w:color="000000"/>
              <w:right w:val="single" w:sz="4" w:space="0" w:color="000000"/>
            </w:tcBorders>
            <w:shd w:val="clear" w:color="auto" w:fill="007B3A"/>
            <w:vAlign w:val="center"/>
          </w:tcPr>
          <w:p w14:paraId="0088B875"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Зміна</w:t>
            </w:r>
          </w:p>
        </w:tc>
        <w:tc>
          <w:tcPr>
            <w:tcW w:w="398" w:type="dxa"/>
            <w:tcBorders>
              <w:left w:val="single" w:sz="4" w:space="0" w:color="000000"/>
              <w:bottom w:val="single" w:sz="4" w:space="0" w:color="000000"/>
              <w:right w:val="single" w:sz="4" w:space="0" w:color="000000"/>
            </w:tcBorders>
            <w:shd w:val="clear" w:color="auto" w:fill="007B3A"/>
            <w:vAlign w:val="center"/>
          </w:tcPr>
          <w:p w14:paraId="18190D64"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2016</w:t>
            </w:r>
          </w:p>
        </w:tc>
        <w:tc>
          <w:tcPr>
            <w:tcW w:w="717" w:type="dxa"/>
            <w:tcBorders>
              <w:left w:val="single" w:sz="4" w:space="0" w:color="000000"/>
              <w:bottom w:val="single" w:sz="4" w:space="0" w:color="000000"/>
              <w:right w:val="single" w:sz="4" w:space="0" w:color="000000"/>
            </w:tcBorders>
            <w:shd w:val="clear" w:color="auto" w:fill="007B3A"/>
            <w:vAlign w:val="center"/>
          </w:tcPr>
          <w:p w14:paraId="14236F9D"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Зміна</w:t>
            </w:r>
          </w:p>
        </w:tc>
        <w:tc>
          <w:tcPr>
            <w:tcW w:w="629" w:type="dxa"/>
            <w:tcBorders>
              <w:left w:val="single" w:sz="4" w:space="0" w:color="000000"/>
              <w:bottom w:val="single" w:sz="4" w:space="0" w:color="000000"/>
            </w:tcBorders>
            <w:shd w:val="clear" w:color="auto" w:fill="007B3A"/>
            <w:vAlign w:val="center"/>
          </w:tcPr>
          <w:p w14:paraId="2E7D8E43"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2017</w:t>
            </w:r>
          </w:p>
        </w:tc>
      </w:tr>
      <w:tr w:rsidR="00662914" w:rsidRPr="00884A71" w14:paraId="0CC19631" w14:textId="77777777" w:rsidTr="00662914">
        <w:trPr>
          <w:trHeight w:val="901"/>
        </w:trPr>
        <w:tc>
          <w:tcPr>
            <w:tcW w:w="1553" w:type="dxa"/>
            <w:tcBorders>
              <w:top w:val="single" w:sz="4" w:space="0" w:color="000000"/>
              <w:bottom w:val="single" w:sz="4" w:space="0" w:color="000000"/>
              <w:right w:val="single" w:sz="4" w:space="0" w:color="000000"/>
            </w:tcBorders>
            <w:vAlign w:val="center"/>
          </w:tcPr>
          <w:p w14:paraId="7A5F82A2"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Реєстрація підприємств</w:t>
            </w:r>
          </w:p>
        </w:tc>
        <w:tc>
          <w:tcPr>
            <w:tcW w:w="586" w:type="dxa"/>
            <w:tcBorders>
              <w:top w:val="single" w:sz="4" w:space="0" w:color="000000"/>
              <w:left w:val="single" w:sz="4" w:space="0" w:color="000000"/>
              <w:bottom w:val="single" w:sz="4" w:space="0" w:color="000000"/>
              <w:right w:val="single" w:sz="4" w:space="0" w:color="000000"/>
            </w:tcBorders>
            <w:vAlign w:val="center"/>
          </w:tcPr>
          <w:p w14:paraId="3D237930"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50</w:t>
            </w:r>
          </w:p>
        </w:tc>
        <w:tc>
          <w:tcPr>
            <w:tcW w:w="518" w:type="dxa"/>
            <w:tcBorders>
              <w:top w:val="single" w:sz="4" w:space="0" w:color="000000"/>
              <w:left w:val="single" w:sz="4" w:space="0" w:color="000000"/>
              <w:bottom w:val="single" w:sz="4" w:space="0" w:color="000000"/>
              <w:right w:val="single" w:sz="4" w:space="0" w:color="000000"/>
            </w:tcBorders>
            <w:vAlign w:val="center"/>
          </w:tcPr>
          <w:p w14:paraId="14ECF57D"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+3</w:t>
            </w:r>
          </w:p>
        </w:tc>
        <w:tc>
          <w:tcPr>
            <w:tcW w:w="417" w:type="dxa"/>
            <w:tcBorders>
              <w:top w:val="single" w:sz="4" w:space="0" w:color="000000"/>
              <w:left w:val="single" w:sz="4" w:space="0" w:color="000000"/>
              <w:bottom w:val="single" w:sz="4" w:space="0" w:color="000000"/>
              <w:right w:val="single" w:sz="4" w:space="0" w:color="000000"/>
            </w:tcBorders>
            <w:vAlign w:val="center"/>
          </w:tcPr>
          <w:p w14:paraId="61928816"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47</w:t>
            </w:r>
          </w:p>
        </w:tc>
        <w:tc>
          <w:tcPr>
            <w:tcW w:w="598" w:type="dxa"/>
            <w:tcBorders>
              <w:top w:val="single" w:sz="4" w:space="0" w:color="000000"/>
              <w:left w:val="single" w:sz="4" w:space="0" w:color="000000"/>
              <w:bottom w:val="single" w:sz="4" w:space="0" w:color="000000"/>
              <w:right w:val="single" w:sz="4" w:space="0" w:color="000000"/>
            </w:tcBorders>
            <w:vAlign w:val="center"/>
          </w:tcPr>
          <w:p w14:paraId="4D7B9F5D"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-29</w:t>
            </w:r>
          </w:p>
        </w:tc>
        <w:tc>
          <w:tcPr>
            <w:tcW w:w="498" w:type="dxa"/>
            <w:tcBorders>
              <w:top w:val="single" w:sz="4" w:space="0" w:color="000000"/>
              <w:left w:val="single" w:sz="4" w:space="0" w:color="000000"/>
              <w:bottom w:val="single" w:sz="4" w:space="0" w:color="000000"/>
              <w:right w:val="single" w:sz="4" w:space="0" w:color="000000"/>
            </w:tcBorders>
            <w:vAlign w:val="center"/>
          </w:tcPr>
          <w:p w14:paraId="1A9D97CB"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76</w:t>
            </w:r>
          </w:p>
        </w:tc>
        <w:tc>
          <w:tcPr>
            <w:tcW w:w="629" w:type="dxa"/>
            <w:tcBorders>
              <w:top w:val="single" w:sz="4" w:space="0" w:color="000000"/>
              <w:left w:val="single" w:sz="4" w:space="0" w:color="000000"/>
              <w:bottom w:val="single" w:sz="4" w:space="0" w:color="000000"/>
              <w:right w:val="single" w:sz="4" w:space="0" w:color="000000"/>
            </w:tcBorders>
            <w:vAlign w:val="center"/>
          </w:tcPr>
          <w:p w14:paraId="2AD4F487"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+46</w:t>
            </w:r>
          </w:p>
        </w:tc>
        <w:tc>
          <w:tcPr>
            <w:tcW w:w="398" w:type="dxa"/>
            <w:tcBorders>
              <w:top w:val="single" w:sz="4" w:space="0" w:color="000000"/>
              <w:left w:val="single" w:sz="4" w:space="0" w:color="000000"/>
              <w:bottom w:val="single" w:sz="4" w:space="0" w:color="000000"/>
              <w:right w:val="single" w:sz="4" w:space="0" w:color="000000"/>
            </w:tcBorders>
            <w:vAlign w:val="center"/>
          </w:tcPr>
          <w:p w14:paraId="46B5B835"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30</w:t>
            </w:r>
          </w:p>
        </w:tc>
        <w:tc>
          <w:tcPr>
            <w:tcW w:w="717" w:type="dxa"/>
            <w:tcBorders>
              <w:top w:val="single" w:sz="4" w:space="0" w:color="000000"/>
              <w:left w:val="single" w:sz="4" w:space="0" w:color="000000"/>
              <w:bottom w:val="single" w:sz="4" w:space="0" w:color="000000"/>
              <w:right w:val="single" w:sz="4" w:space="0" w:color="000000"/>
            </w:tcBorders>
            <w:vAlign w:val="center"/>
          </w:tcPr>
          <w:p w14:paraId="4468A8F0"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+10</w:t>
            </w:r>
          </w:p>
        </w:tc>
        <w:tc>
          <w:tcPr>
            <w:tcW w:w="629" w:type="dxa"/>
            <w:tcBorders>
              <w:top w:val="single" w:sz="4" w:space="0" w:color="000000"/>
              <w:left w:val="single" w:sz="4" w:space="0" w:color="000000"/>
              <w:bottom w:val="single" w:sz="4" w:space="0" w:color="000000"/>
            </w:tcBorders>
            <w:vAlign w:val="center"/>
          </w:tcPr>
          <w:p w14:paraId="7E25D74D"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20</w:t>
            </w:r>
          </w:p>
        </w:tc>
      </w:tr>
      <w:tr w:rsidR="00662914" w:rsidRPr="00884A71" w14:paraId="24AE5777" w14:textId="77777777" w:rsidTr="00662914">
        <w:trPr>
          <w:trHeight w:val="759"/>
        </w:trPr>
        <w:tc>
          <w:tcPr>
            <w:tcW w:w="1553" w:type="dxa"/>
            <w:tcBorders>
              <w:top w:val="single" w:sz="4" w:space="0" w:color="000000"/>
              <w:bottom w:val="single" w:sz="4" w:space="0" w:color="000000"/>
              <w:right w:val="single" w:sz="4" w:space="0" w:color="000000"/>
            </w:tcBorders>
            <w:vAlign w:val="center"/>
          </w:tcPr>
          <w:p w14:paraId="79AB9AF5"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Отримання дозволів на будівництво</w:t>
            </w:r>
          </w:p>
        </w:tc>
        <w:tc>
          <w:tcPr>
            <w:tcW w:w="586" w:type="dxa"/>
            <w:tcBorders>
              <w:top w:val="single" w:sz="4" w:space="0" w:color="000000"/>
              <w:left w:val="single" w:sz="4" w:space="0" w:color="000000"/>
              <w:bottom w:val="single" w:sz="4" w:space="0" w:color="000000"/>
              <w:right w:val="single" w:sz="4" w:space="0" w:color="000000"/>
            </w:tcBorders>
            <w:vAlign w:val="center"/>
          </w:tcPr>
          <w:p w14:paraId="47649BF2"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183</w:t>
            </w:r>
          </w:p>
        </w:tc>
        <w:tc>
          <w:tcPr>
            <w:tcW w:w="518" w:type="dxa"/>
            <w:tcBorders>
              <w:top w:val="single" w:sz="4" w:space="0" w:color="000000"/>
              <w:left w:val="single" w:sz="4" w:space="0" w:color="000000"/>
              <w:bottom w:val="single" w:sz="4" w:space="0" w:color="000000"/>
              <w:right w:val="single" w:sz="4" w:space="0" w:color="000000"/>
            </w:tcBorders>
            <w:vAlign w:val="center"/>
          </w:tcPr>
          <w:p w14:paraId="79BF5EF7"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+142</w:t>
            </w:r>
          </w:p>
        </w:tc>
        <w:tc>
          <w:tcPr>
            <w:tcW w:w="417" w:type="dxa"/>
            <w:tcBorders>
              <w:top w:val="single" w:sz="4" w:space="0" w:color="000000"/>
              <w:left w:val="single" w:sz="4" w:space="0" w:color="000000"/>
              <w:bottom w:val="single" w:sz="4" w:space="0" w:color="000000"/>
              <w:right w:val="single" w:sz="4" w:space="0" w:color="000000"/>
            </w:tcBorders>
            <w:vAlign w:val="center"/>
          </w:tcPr>
          <w:p w14:paraId="3DAB1195"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41</w:t>
            </w:r>
          </w:p>
        </w:tc>
        <w:tc>
          <w:tcPr>
            <w:tcW w:w="598" w:type="dxa"/>
            <w:tcBorders>
              <w:top w:val="single" w:sz="4" w:space="0" w:color="000000"/>
              <w:left w:val="single" w:sz="4" w:space="0" w:color="000000"/>
              <w:bottom w:val="single" w:sz="4" w:space="0" w:color="000000"/>
              <w:right w:val="single" w:sz="4" w:space="0" w:color="000000"/>
            </w:tcBorders>
            <w:vAlign w:val="center"/>
          </w:tcPr>
          <w:p w14:paraId="66CE51AD"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-29</w:t>
            </w:r>
          </w:p>
        </w:tc>
        <w:tc>
          <w:tcPr>
            <w:tcW w:w="498" w:type="dxa"/>
            <w:tcBorders>
              <w:top w:val="single" w:sz="4" w:space="0" w:color="000000"/>
              <w:left w:val="single" w:sz="4" w:space="0" w:color="000000"/>
              <w:bottom w:val="single" w:sz="4" w:space="0" w:color="000000"/>
              <w:right w:val="single" w:sz="4" w:space="0" w:color="000000"/>
            </w:tcBorders>
            <w:vAlign w:val="center"/>
          </w:tcPr>
          <w:p w14:paraId="14203DCE"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70</w:t>
            </w:r>
          </w:p>
        </w:tc>
        <w:tc>
          <w:tcPr>
            <w:tcW w:w="629" w:type="dxa"/>
            <w:tcBorders>
              <w:top w:val="single" w:sz="4" w:space="0" w:color="000000"/>
              <w:left w:val="single" w:sz="4" w:space="0" w:color="000000"/>
              <w:bottom w:val="single" w:sz="4" w:space="0" w:color="000000"/>
              <w:right w:val="single" w:sz="4" w:space="0" w:color="000000"/>
            </w:tcBorders>
            <w:vAlign w:val="center"/>
          </w:tcPr>
          <w:p w14:paraId="33EFC727"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-70</w:t>
            </w:r>
          </w:p>
        </w:tc>
        <w:tc>
          <w:tcPr>
            <w:tcW w:w="398" w:type="dxa"/>
            <w:tcBorders>
              <w:top w:val="single" w:sz="4" w:space="0" w:color="000000"/>
              <w:left w:val="single" w:sz="4" w:space="0" w:color="000000"/>
              <w:bottom w:val="single" w:sz="4" w:space="0" w:color="000000"/>
              <w:right w:val="single" w:sz="4" w:space="0" w:color="000000"/>
            </w:tcBorders>
            <w:vAlign w:val="center"/>
          </w:tcPr>
          <w:p w14:paraId="10B7E94E"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140</w:t>
            </w:r>
          </w:p>
        </w:tc>
        <w:tc>
          <w:tcPr>
            <w:tcW w:w="717" w:type="dxa"/>
            <w:tcBorders>
              <w:top w:val="single" w:sz="4" w:space="0" w:color="000000"/>
              <w:left w:val="single" w:sz="4" w:space="0" w:color="000000"/>
              <w:bottom w:val="single" w:sz="4" w:space="0" w:color="000000"/>
              <w:right w:val="single" w:sz="4" w:space="0" w:color="000000"/>
            </w:tcBorders>
            <w:vAlign w:val="center"/>
          </w:tcPr>
          <w:p w14:paraId="7A7E0968"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w:t>
            </w:r>
          </w:p>
        </w:tc>
        <w:tc>
          <w:tcPr>
            <w:tcW w:w="629" w:type="dxa"/>
            <w:tcBorders>
              <w:top w:val="single" w:sz="4" w:space="0" w:color="000000"/>
              <w:left w:val="single" w:sz="4" w:space="0" w:color="000000"/>
              <w:bottom w:val="single" w:sz="4" w:space="0" w:color="000000"/>
            </w:tcBorders>
            <w:vAlign w:val="center"/>
          </w:tcPr>
          <w:p w14:paraId="503BE433"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140</w:t>
            </w:r>
          </w:p>
        </w:tc>
      </w:tr>
      <w:tr w:rsidR="00662914" w:rsidRPr="00884A71" w14:paraId="40086E5E" w14:textId="77777777" w:rsidTr="00662914">
        <w:trPr>
          <w:trHeight w:val="705"/>
        </w:trPr>
        <w:tc>
          <w:tcPr>
            <w:tcW w:w="1553" w:type="dxa"/>
            <w:tcBorders>
              <w:top w:val="single" w:sz="4" w:space="0" w:color="000000"/>
              <w:bottom w:val="single" w:sz="4" w:space="0" w:color="000000"/>
              <w:right w:val="single" w:sz="4" w:space="0" w:color="000000"/>
            </w:tcBorders>
            <w:vAlign w:val="center"/>
          </w:tcPr>
          <w:p w14:paraId="4F5E2907"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Підключення до системи</w:t>
            </w:r>
          </w:p>
          <w:p w14:paraId="6A58BF3E"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енергопостачання</w:t>
            </w:r>
          </w:p>
        </w:tc>
        <w:tc>
          <w:tcPr>
            <w:tcW w:w="586" w:type="dxa"/>
            <w:tcBorders>
              <w:top w:val="single" w:sz="4" w:space="0" w:color="000000"/>
              <w:left w:val="single" w:sz="4" w:space="0" w:color="000000"/>
              <w:bottom w:val="single" w:sz="4" w:space="0" w:color="000000"/>
              <w:right w:val="single" w:sz="4" w:space="0" w:color="000000"/>
            </w:tcBorders>
            <w:vAlign w:val="center"/>
          </w:tcPr>
          <w:p w14:paraId="69AD9539" w14:textId="77777777" w:rsidR="00662914" w:rsidRPr="00884A71" w:rsidRDefault="00662914" w:rsidP="00662914">
            <w:pPr>
              <w:adjustRightInd w:val="0"/>
              <w:snapToGrid w:val="0"/>
              <w:spacing w:after="0" w:line="240" w:lineRule="auto"/>
              <w:rPr>
                <w:rFonts w:ascii="Times New Roman" w:hAnsi="Times New Roman" w:cs="Times New Roman"/>
                <w:b/>
                <w:sz w:val="16"/>
                <w:szCs w:val="16"/>
              </w:rPr>
            </w:pPr>
          </w:p>
          <w:p w14:paraId="43429488"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166</w:t>
            </w:r>
          </w:p>
        </w:tc>
        <w:tc>
          <w:tcPr>
            <w:tcW w:w="518" w:type="dxa"/>
            <w:tcBorders>
              <w:top w:val="single" w:sz="4" w:space="0" w:color="000000"/>
              <w:left w:val="single" w:sz="4" w:space="0" w:color="000000"/>
              <w:bottom w:val="single" w:sz="4" w:space="0" w:color="000000"/>
              <w:right w:val="single" w:sz="4" w:space="0" w:color="000000"/>
            </w:tcBorders>
            <w:vAlign w:val="center"/>
          </w:tcPr>
          <w:p w14:paraId="6C4903AA" w14:textId="77777777" w:rsidR="00662914" w:rsidRPr="00884A71" w:rsidRDefault="00662914" w:rsidP="00662914">
            <w:pPr>
              <w:adjustRightInd w:val="0"/>
              <w:snapToGrid w:val="0"/>
              <w:spacing w:after="0" w:line="240" w:lineRule="auto"/>
              <w:rPr>
                <w:rFonts w:ascii="Times New Roman" w:hAnsi="Times New Roman" w:cs="Times New Roman"/>
                <w:b/>
                <w:sz w:val="16"/>
                <w:szCs w:val="16"/>
              </w:rPr>
            </w:pPr>
          </w:p>
          <w:p w14:paraId="481E7DEE"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6</w:t>
            </w:r>
          </w:p>
        </w:tc>
        <w:tc>
          <w:tcPr>
            <w:tcW w:w="417" w:type="dxa"/>
            <w:tcBorders>
              <w:top w:val="single" w:sz="4" w:space="0" w:color="000000"/>
              <w:left w:val="single" w:sz="4" w:space="0" w:color="000000"/>
              <w:bottom w:val="single" w:sz="4" w:space="0" w:color="000000"/>
              <w:right w:val="single" w:sz="4" w:space="0" w:color="000000"/>
            </w:tcBorders>
            <w:vAlign w:val="center"/>
          </w:tcPr>
          <w:p w14:paraId="54D1DFF6" w14:textId="77777777" w:rsidR="00662914" w:rsidRPr="00884A71" w:rsidRDefault="00662914" w:rsidP="00662914">
            <w:pPr>
              <w:adjustRightInd w:val="0"/>
              <w:snapToGrid w:val="0"/>
              <w:spacing w:after="0" w:line="240" w:lineRule="auto"/>
              <w:rPr>
                <w:rFonts w:ascii="Times New Roman" w:hAnsi="Times New Roman" w:cs="Times New Roman"/>
                <w:b/>
                <w:sz w:val="16"/>
                <w:szCs w:val="16"/>
              </w:rPr>
            </w:pPr>
          </w:p>
          <w:p w14:paraId="1289CBAB"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172</w:t>
            </w:r>
          </w:p>
        </w:tc>
        <w:tc>
          <w:tcPr>
            <w:tcW w:w="598" w:type="dxa"/>
            <w:tcBorders>
              <w:top w:val="single" w:sz="4" w:space="0" w:color="000000"/>
              <w:left w:val="single" w:sz="4" w:space="0" w:color="000000"/>
              <w:bottom w:val="single" w:sz="4" w:space="0" w:color="000000"/>
              <w:right w:val="single" w:sz="4" w:space="0" w:color="000000"/>
            </w:tcBorders>
            <w:vAlign w:val="center"/>
          </w:tcPr>
          <w:p w14:paraId="4B5716CB" w14:textId="77777777" w:rsidR="00662914" w:rsidRPr="00884A71" w:rsidRDefault="00662914" w:rsidP="00662914">
            <w:pPr>
              <w:adjustRightInd w:val="0"/>
              <w:snapToGrid w:val="0"/>
              <w:spacing w:after="0" w:line="240" w:lineRule="auto"/>
              <w:rPr>
                <w:rFonts w:ascii="Times New Roman" w:hAnsi="Times New Roman" w:cs="Times New Roman"/>
                <w:b/>
                <w:sz w:val="16"/>
                <w:szCs w:val="16"/>
              </w:rPr>
            </w:pPr>
          </w:p>
          <w:p w14:paraId="67124202"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+13</w:t>
            </w:r>
          </w:p>
        </w:tc>
        <w:tc>
          <w:tcPr>
            <w:tcW w:w="498" w:type="dxa"/>
            <w:tcBorders>
              <w:top w:val="single" w:sz="4" w:space="0" w:color="000000"/>
              <w:left w:val="single" w:sz="4" w:space="0" w:color="000000"/>
              <w:bottom w:val="single" w:sz="4" w:space="0" w:color="000000"/>
              <w:right w:val="single" w:sz="4" w:space="0" w:color="000000"/>
            </w:tcBorders>
            <w:vAlign w:val="center"/>
          </w:tcPr>
          <w:p w14:paraId="427B45E1" w14:textId="77777777" w:rsidR="00662914" w:rsidRPr="00884A71" w:rsidRDefault="00662914" w:rsidP="00662914">
            <w:pPr>
              <w:adjustRightInd w:val="0"/>
              <w:snapToGrid w:val="0"/>
              <w:spacing w:after="0" w:line="240" w:lineRule="auto"/>
              <w:rPr>
                <w:rFonts w:ascii="Times New Roman" w:hAnsi="Times New Roman" w:cs="Times New Roman"/>
                <w:b/>
                <w:sz w:val="16"/>
                <w:szCs w:val="16"/>
              </w:rPr>
            </w:pPr>
          </w:p>
          <w:p w14:paraId="0E34ABF2"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185</w:t>
            </w:r>
          </w:p>
        </w:tc>
        <w:tc>
          <w:tcPr>
            <w:tcW w:w="629" w:type="dxa"/>
            <w:tcBorders>
              <w:top w:val="single" w:sz="4" w:space="0" w:color="000000"/>
              <w:left w:val="single" w:sz="4" w:space="0" w:color="000000"/>
              <w:bottom w:val="single" w:sz="4" w:space="0" w:color="000000"/>
              <w:right w:val="single" w:sz="4" w:space="0" w:color="000000"/>
            </w:tcBorders>
            <w:vAlign w:val="center"/>
          </w:tcPr>
          <w:p w14:paraId="15B52946" w14:textId="77777777" w:rsidR="00662914" w:rsidRPr="00884A71" w:rsidRDefault="00662914" w:rsidP="00662914">
            <w:pPr>
              <w:adjustRightInd w:val="0"/>
              <w:snapToGrid w:val="0"/>
              <w:spacing w:after="0" w:line="240" w:lineRule="auto"/>
              <w:rPr>
                <w:rFonts w:ascii="Times New Roman" w:hAnsi="Times New Roman" w:cs="Times New Roman"/>
                <w:b/>
                <w:sz w:val="16"/>
                <w:szCs w:val="16"/>
              </w:rPr>
            </w:pPr>
          </w:p>
          <w:p w14:paraId="61FD2B68"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+48</w:t>
            </w:r>
          </w:p>
        </w:tc>
        <w:tc>
          <w:tcPr>
            <w:tcW w:w="398" w:type="dxa"/>
            <w:tcBorders>
              <w:top w:val="single" w:sz="4" w:space="0" w:color="000000"/>
              <w:left w:val="single" w:sz="4" w:space="0" w:color="000000"/>
              <w:bottom w:val="single" w:sz="4" w:space="0" w:color="000000"/>
              <w:right w:val="single" w:sz="4" w:space="0" w:color="000000"/>
            </w:tcBorders>
            <w:vAlign w:val="center"/>
          </w:tcPr>
          <w:p w14:paraId="487731D6" w14:textId="77777777" w:rsidR="00662914" w:rsidRPr="00884A71" w:rsidRDefault="00662914" w:rsidP="00662914">
            <w:pPr>
              <w:adjustRightInd w:val="0"/>
              <w:snapToGrid w:val="0"/>
              <w:spacing w:after="0" w:line="240" w:lineRule="auto"/>
              <w:rPr>
                <w:rFonts w:ascii="Times New Roman" w:hAnsi="Times New Roman" w:cs="Times New Roman"/>
                <w:b/>
                <w:sz w:val="16"/>
                <w:szCs w:val="16"/>
              </w:rPr>
            </w:pPr>
          </w:p>
          <w:p w14:paraId="1FBFBEA7"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137</w:t>
            </w:r>
          </w:p>
        </w:tc>
        <w:tc>
          <w:tcPr>
            <w:tcW w:w="717" w:type="dxa"/>
            <w:tcBorders>
              <w:top w:val="single" w:sz="4" w:space="0" w:color="000000"/>
              <w:left w:val="single" w:sz="4" w:space="0" w:color="000000"/>
              <w:bottom w:val="single" w:sz="4" w:space="0" w:color="000000"/>
              <w:right w:val="single" w:sz="4" w:space="0" w:color="000000"/>
            </w:tcBorders>
            <w:vAlign w:val="center"/>
          </w:tcPr>
          <w:p w14:paraId="1A01D354" w14:textId="77777777" w:rsidR="00662914" w:rsidRPr="00884A71" w:rsidRDefault="00662914" w:rsidP="00662914">
            <w:pPr>
              <w:adjustRightInd w:val="0"/>
              <w:snapToGrid w:val="0"/>
              <w:spacing w:after="0" w:line="240" w:lineRule="auto"/>
              <w:rPr>
                <w:rFonts w:ascii="Times New Roman" w:hAnsi="Times New Roman" w:cs="Times New Roman"/>
                <w:b/>
                <w:sz w:val="16"/>
                <w:szCs w:val="16"/>
              </w:rPr>
            </w:pPr>
          </w:p>
          <w:p w14:paraId="5314FC01"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+7</w:t>
            </w:r>
          </w:p>
        </w:tc>
        <w:tc>
          <w:tcPr>
            <w:tcW w:w="629" w:type="dxa"/>
            <w:tcBorders>
              <w:top w:val="single" w:sz="4" w:space="0" w:color="000000"/>
              <w:left w:val="single" w:sz="4" w:space="0" w:color="000000"/>
              <w:bottom w:val="single" w:sz="4" w:space="0" w:color="000000"/>
            </w:tcBorders>
            <w:vAlign w:val="center"/>
          </w:tcPr>
          <w:p w14:paraId="67149EEF" w14:textId="77777777" w:rsidR="00662914" w:rsidRPr="00884A71" w:rsidRDefault="00662914" w:rsidP="00662914">
            <w:pPr>
              <w:adjustRightInd w:val="0"/>
              <w:snapToGrid w:val="0"/>
              <w:spacing w:after="0" w:line="240" w:lineRule="auto"/>
              <w:rPr>
                <w:rFonts w:ascii="Times New Roman" w:hAnsi="Times New Roman" w:cs="Times New Roman"/>
                <w:b/>
                <w:sz w:val="16"/>
                <w:szCs w:val="16"/>
              </w:rPr>
            </w:pPr>
          </w:p>
          <w:p w14:paraId="1D22183C"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130</w:t>
            </w:r>
          </w:p>
        </w:tc>
      </w:tr>
      <w:tr w:rsidR="00662914" w:rsidRPr="00884A71" w14:paraId="09BADFF0" w14:textId="77777777" w:rsidTr="00662914">
        <w:trPr>
          <w:trHeight w:val="704"/>
        </w:trPr>
        <w:tc>
          <w:tcPr>
            <w:tcW w:w="1553" w:type="dxa"/>
            <w:tcBorders>
              <w:top w:val="single" w:sz="4" w:space="0" w:color="000000"/>
              <w:bottom w:val="single" w:sz="4" w:space="0" w:color="000000"/>
              <w:right w:val="single" w:sz="4" w:space="0" w:color="000000"/>
            </w:tcBorders>
            <w:vAlign w:val="center"/>
          </w:tcPr>
          <w:p w14:paraId="1E7EEB4F"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Реєстрація власності</w:t>
            </w:r>
          </w:p>
        </w:tc>
        <w:tc>
          <w:tcPr>
            <w:tcW w:w="586" w:type="dxa"/>
            <w:tcBorders>
              <w:top w:val="single" w:sz="4" w:space="0" w:color="000000"/>
              <w:left w:val="single" w:sz="4" w:space="0" w:color="000000"/>
              <w:bottom w:val="single" w:sz="4" w:space="0" w:color="000000"/>
              <w:right w:val="single" w:sz="4" w:space="0" w:color="000000"/>
            </w:tcBorders>
            <w:vAlign w:val="center"/>
          </w:tcPr>
          <w:p w14:paraId="06160367"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149</w:t>
            </w:r>
          </w:p>
        </w:tc>
        <w:tc>
          <w:tcPr>
            <w:tcW w:w="518" w:type="dxa"/>
            <w:tcBorders>
              <w:top w:val="single" w:sz="4" w:space="0" w:color="000000"/>
              <w:left w:val="single" w:sz="4" w:space="0" w:color="000000"/>
              <w:bottom w:val="single" w:sz="4" w:space="0" w:color="000000"/>
              <w:right w:val="single" w:sz="4" w:space="0" w:color="000000"/>
            </w:tcBorders>
            <w:vAlign w:val="center"/>
          </w:tcPr>
          <w:p w14:paraId="158D47C2"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+52</w:t>
            </w:r>
          </w:p>
        </w:tc>
        <w:tc>
          <w:tcPr>
            <w:tcW w:w="417" w:type="dxa"/>
            <w:tcBorders>
              <w:top w:val="single" w:sz="4" w:space="0" w:color="000000"/>
              <w:left w:val="single" w:sz="4" w:space="0" w:color="000000"/>
              <w:bottom w:val="single" w:sz="4" w:space="0" w:color="000000"/>
              <w:right w:val="single" w:sz="4" w:space="0" w:color="000000"/>
            </w:tcBorders>
            <w:vAlign w:val="center"/>
          </w:tcPr>
          <w:p w14:paraId="68069FF0"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97</w:t>
            </w:r>
          </w:p>
        </w:tc>
        <w:tc>
          <w:tcPr>
            <w:tcW w:w="598" w:type="dxa"/>
            <w:tcBorders>
              <w:top w:val="single" w:sz="4" w:space="0" w:color="000000"/>
              <w:left w:val="single" w:sz="4" w:space="0" w:color="000000"/>
              <w:bottom w:val="single" w:sz="4" w:space="0" w:color="000000"/>
              <w:right w:val="single" w:sz="4" w:space="0" w:color="000000"/>
            </w:tcBorders>
            <w:vAlign w:val="center"/>
          </w:tcPr>
          <w:p w14:paraId="61329872"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+38</w:t>
            </w:r>
          </w:p>
        </w:tc>
        <w:tc>
          <w:tcPr>
            <w:tcW w:w="498" w:type="dxa"/>
            <w:tcBorders>
              <w:top w:val="single" w:sz="4" w:space="0" w:color="000000"/>
              <w:left w:val="single" w:sz="4" w:space="0" w:color="000000"/>
              <w:bottom w:val="single" w:sz="4" w:space="0" w:color="000000"/>
              <w:right w:val="single" w:sz="4" w:space="0" w:color="000000"/>
            </w:tcBorders>
            <w:vAlign w:val="center"/>
          </w:tcPr>
          <w:p w14:paraId="6D0F3A95"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59</w:t>
            </w:r>
          </w:p>
        </w:tc>
        <w:tc>
          <w:tcPr>
            <w:tcW w:w="629" w:type="dxa"/>
            <w:tcBorders>
              <w:top w:val="single" w:sz="4" w:space="0" w:color="000000"/>
              <w:left w:val="single" w:sz="4" w:space="0" w:color="000000"/>
              <w:bottom w:val="single" w:sz="4" w:space="0" w:color="000000"/>
              <w:right w:val="single" w:sz="4" w:space="0" w:color="000000"/>
            </w:tcBorders>
            <w:vAlign w:val="center"/>
          </w:tcPr>
          <w:p w14:paraId="7C4758EA"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-2</w:t>
            </w:r>
          </w:p>
        </w:tc>
        <w:tc>
          <w:tcPr>
            <w:tcW w:w="398" w:type="dxa"/>
            <w:tcBorders>
              <w:top w:val="single" w:sz="4" w:space="0" w:color="000000"/>
              <w:left w:val="single" w:sz="4" w:space="0" w:color="000000"/>
              <w:bottom w:val="single" w:sz="4" w:space="0" w:color="000000"/>
              <w:right w:val="single" w:sz="4" w:space="0" w:color="000000"/>
            </w:tcBorders>
            <w:vAlign w:val="center"/>
          </w:tcPr>
          <w:p w14:paraId="582B13B3"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61</w:t>
            </w:r>
          </w:p>
        </w:tc>
        <w:tc>
          <w:tcPr>
            <w:tcW w:w="717" w:type="dxa"/>
            <w:tcBorders>
              <w:top w:val="single" w:sz="4" w:space="0" w:color="000000"/>
              <w:left w:val="single" w:sz="4" w:space="0" w:color="000000"/>
              <w:bottom w:val="single" w:sz="4" w:space="0" w:color="000000"/>
              <w:right w:val="single" w:sz="4" w:space="0" w:color="000000"/>
            </w:tcBorders>
            <w:vAlign w:val="center"/>
          </w:tcPr>
          <w:p w14:paraId="079F9C43"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-2</w:t>
            </w:r>
          </w:p>
        </w:tc>
        <w:tc>
          <w:tcPr>
            <w:tcW w:w="629" w:type="dxa"/>
            <w:tcBorders>
              <w:top w:val="single" w:sz="4" w:space="0" w:color="000000"/>
              <w:left w:val="single" w:sz="4" w:space="0" w:color="000000"/>
              <w:bottom w:val="single" w:sz="4" w:space="0" w:color="000000"/>
            </w:tcBorders>
            <w:vAlign w:val="center"/>
          </w:tcPr>
          <w:p w14:paraId="113A6ED7"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63</w:t>
            </w:r>
          </w:p>
        </w:tc>
      </w:tr>
      <w:tr w:rsidR="00662914" w:rsidRPr="00884A71" w14:paraId="54B1AFE8" w14:textId="77777777" w:rsidTr="00662914">
        <w:trPr>
          <w:trHeight w:val="491"/>
        </w:trPr>
        <w:tc>
          <w:tcPr>
            <w:tcW w:w="1553" w:type="dxa"/>
            <w:tcBorders>
              <w:top w:val="single" w:sz="4" w:space="0" w:color="000000"/>
              <w:bottom w:val="single" w:sz="4" w:space="0" w:color="000000"/>
              <w:right w:val="single" w:sz="4" w:space="0" w:color="000000"/>
            </w:tcBorders>
            <w:vAlign w:val="center"/>
          </w:tcPr>
          <w:p w14:paraId="612DA5A5"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Доступ до кредитів</w:t>
            </w:r>
          </w:p>
        </w:tc>
        <w:tc>
          <w:tcPr>
            <w:tcW w:w="586" w:type="dxa"/>
            <w:tcBorders>
              <w:top w:val="single" w:sz="4" w:space="0" w:color="000000"/>
              <w:left w:val="single" w:sz="4" w:space="0" w:color="000000"/>
              <w:bottom w:val="single" w:sz="4" w:space="0" w:color="000000"/>
              <w:right w:val="single" w:sz="4" w:space="0" w:color="000000"/>
            </w:tcBorders>
            <w:vAlign w:val="center"/>
          </w:tcPr>
          <w:p w14:paraId="2F389245"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23</w:t>
            </w:r>
          </w:p>
        </w:tc>
        <w:tc>
          <w:tcPr>
            <w:tcW w:w="518" w:type="dxa"/>
            <w:tcBorders>
              <w:top w:val="single" w:sz="4" w:space="0" w:color="000000"/>
              <w:left w:val="single" w:sz="4" w:space="0" w:color="000000"/>
              <w:bottom w:val="single" w:sz="4" w:space="0" w:color="000000"/>
              <w:right w:val="single" w:sz="4" w:space="0" w:color="000000"/>
            </w:tcBorders>
            <w:vAlign w:val="center"/>
          </w:tcPr>
          <w:p w14:paraId="2850270D"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+10</w:t>
            </w:r>
          </w:p>
        </w:tc>
        <w:tc>
          <w:tcPr>
            <w:tcW w:w="417" w:type="dxa"/>
            <w:tcBorders>
              <w:top w:val="single" w:sz="4" w:space="0" w:color="000000"/>
              <w:left w:val="single" w:sz="4" w:space="0" w:color="000000"/>
              <w:bottom w:val="single" w:sz="4" w:space="0" w:color="000000"/>
              <w:right w:val="single" w:sz="4" w:space="0" w:color="000000"/>
            </w:tcBorders>
            <w:vAlign w:val="center"/>
          </w:tcPr>
          <w:p w14:paraId="25F6EA3A"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13</w:t>
            </w:r>
          </w:p>
        </w:tc>
        <w:tc>
          <w:tcPr>
            <w:tcW w:w="598" w:type="dxa"/>
            <w:tcBorders>
              <w:top w:val="single" w:sz="4" w:space="0" w:color="000000"/>
              <w:left w:val="single" w:sz="4" w:space="0" w:color="000000"/>
              <w:bottom w:val="single" w:sz="4" w:space="0" w:color="000000"/>
              <w:right w:val="single" w:sz="4" w:space="0" w:color="000000"/>
            </w:tcBorders>
            <w:vAlign w:val="center"/>
          </w:tcPr>
          <w:p w14:paraId="0C847802"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-4</w:t>
            </w:r>
          </w:p>
        </w:tc>
        <w:tc>
          <w:tcPr>
            <w:tcW w:w="498" w:type="dxa"/>
            <w:tcBorders>
              <w:top w:val="single" w:sz="4" w:space="0" w:color="000000"/>
              <w:left w:val="single" w:sz="4" w:space="0" w:color="000000"/>
              <w:bottom w:val="single" w:sz="4" w:space="0" w:color="000000"/>
              <w:right w:val="single" w:sz="4" w:space="0" w:color="000000"/>
            </w:tcBorders>
            <w:vAlign w:val="center"/>
          </w:tcPr>
          <w:p w14:paraId="50FC9C66"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17</w:t>
            </w:r>
          </w:p>
        </w:tc>
        <w:tc>
          <w:tcPr>
            <w:tcW w:w="629" w:type="dxa"/>
            <w:tcBorders>
              <w:top w:val="single" w:sz="4" w:space="0" w:color="000000"/>
              <w:left w:val="single" w:sz="4" w:space="0" w:color="000000"/>
              <w:bottom w:val="single" w:sz="4" w:space="0" w:color="000000"/>
              <w:right w:val="single" w:sz="4" w:space="0" w:color="000000"/>
            </w:tcBorders>
            <w:vAlign w:val="center"/>
          </w:tcPr>
          <w:p w14:paraId="0608CD53"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-2</w:t>
            </w:r>
          </w:p>
        </w:tc>
        <w:tc>
          <w:tcPr>
            <w:tcW w:w="398" w:type="dxa"/>
            <w:tcBorders>
              <w:top w:val="single" w:sz="4" w:space="0" w:color="000000"/>
              <w:left w:val="single" w:sz="4" w:space="0" w:color="000000"/>
              <w:bottom w:val="single" w:sz="4" w:space="0" w:color="000000"/>
              <w:right w:val="single" w:sz="4" w:space="0" w:color="000000"/>
            </w:tcBorders>
            <w:vAlign w:val="center"/>
          </w:tcPr>
          <w:p w14:paraId="1AB99B95"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19</w:t>
            </w:r>
          </w:p>
        </w:tc>
        <w:tc>
          <w:tcPr>
            <w:tcW w:w="717" w:type="dxa"/>
            <w:tcBorders>
              <w:top w:val="single" w:sz="4" w:space="0" w:color="000000"/>
              <w:left w:val="single" w:sz="4" w:space="0" w:color="000000"/>
              <w:bottom w:val="single" w:sz="4" w:space="0" w:color="000000"/>
              <w:right w:val="single" w:sz="4" w:space="0" w:color="000000"/>
            </w:tcBorders>
            <w:vAlign w:val="center"/>
          </w:tcPr>
          <w:p w14:paraId="5D925FF8"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w:t>
            </w:r>
          </w:p>
        </w:tc>
        <w:tc>
          <w:tcPr>
            <w:tcW w:w="629" w:type="dxa"/>
            <w:tcBorders>
              <w:top w:val="single" w:sz="4" w:space="0" w:color="000000"/>
              <w:left w:val="single" w:sz="4" w:space="0" w:color="000000"/>
              <w:bottom w:val="single" w:sz="4" w:space="0" w:color="000000"/>
            </w:tcBorders>
            <w:vAlign w:val="center"/>
          </w:tcPr>
          <w:p w14:paraId="537899D0"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20</w:t>
            </w:r>
          </w:p>
        </w:tc>
      </w:tr>
      <w:tr w:rsidR="00662914" w:rsidRPr="00884A71" w14:paraId="30862E14" w14:textId="77777777" w:rsidTr="00662914">
        <w:trPr>
          <w:trHeight w:val="506"/>
        </w:trPr>
        <w:tc>
          <w:tcPr>
            <w:tcW w:w="1553" w:type="dxa"/>
            <w:tcBorders>
              <w:top w:val="single" w:sz="4" w:space="0" w:color="000000"/>
              <w:bottom w:val="single" w:sz="4" w:space="0" w:color="000000"/>
              <w:right w:val="single" w:sz="4" w:space="0" w:color="000000"/>
            </w:tcBorders>
            <w:vAlign w:val="center"/>
          </w:tcPr>
          <w:p w14:paraId="3FB62DF9"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Захист прав інвесторів</w:t>
            </w:r>
          </w:p>
        </w:tc>
        <w:tc>
          <w:tcPr>
            <w:tcW w:w="586" w:type="dxa"/>
            <w:tcBorders>
              <w:top w:val="single" w:sz="4" w:space="0" w:color="000000"/>
              <w:left w:val="single" w:sz="4" w:space="0" w:color="000000"/>
              <w:bottom w:val="single" w:sz="4" w:space="0" w:color="000000"/>
              <w:right w:val="single" w:sz="4" w:space="0" w:color="000000"/>
            </w:tcBorders>
            <w:vAlign w:val="center"/>
          </w:tcPr>
          <w:p w14:paraId="4B0E895D"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117</w:t>
            </w:r>
          </w:p>
        </w:tc>
        <w:tc>
          <w:tcPr>
            <w:tcW w:w="518" w:type="dxa"/>
            <w:tcBorders>
              <w:top w:val="single" w:sz="4" w:space="0" w:color="000000"/>
              <w:left w:val="single" w:sz="4" w:space="0" w:color="000000"/>
              <w:bottom w:val="single" w:sz="4" w:space="0" w:color="000000"/>
              <w:right w:val="single" w:sz="4" w:space="0" w:color="000000"/>
            </w:tcBorders>
            <w:vAlign w:val="center"/>
          </w:tcPr>
          <w:p w14:paraId="07B8A1CF"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-11</w:t>
            </w:r>
          </w:p>
        </w:tc>
        <w:tc>
          <w:tcPr>
            <w:tcW w:w="417" w:type="dxa"/>
            <w:tcBorders>
              <w:top w:val="single" w:sz="4" w:space="0" w:color="000000"/>
              <w:left w:val="single" w:sz="4" w:space="0" w:color="000000"/>
              <w:bottom w:val="single" w:sz="4" w:space="0" w:color="000000"/>
              <w:right w:val="single" w:sz="4" w:space="0" w:color="000000"/>
            </w:tcBorders>
            <w:vAlign w:val="center"/>
          </w:tcPr>
          <w:p w14:paraId="512440B0"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128</w:t>
            </w:r>
          </w:p>
        </w:tc>
        <w:tc>
          <w:tcPr>
            <w:tcW w:w="598" w:type="dxa"/>
            <w:tcBorders>
              <w:top w:val="single" w:sz="4" w:space="0" w:color="000000"/>
              <w:left w:val="single" w:sz="4" w:space="0" w:color="000000"/>
              <w:bottom w:val="single" w:sz="4" w:space="0" w:color="000000"/>
              <w:right w:val="single" w:sz="4" w:space="0" w:color="000000"/>
            </w:tcBorders>
            <w:vAlign w:val="center"/>
          </w:tcPr>
          <w:p w14:paraId="76D28C81"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+19</w:t>
            </w:r>
          </w:p>
        </w:tc>
        <w:tc>
          <w:tcPr>
            <w:tcW w:w="498" w:type="dxa"/>
            <w:tcBorders>
              <w:top w:val="single" w:sz="4" w:space="0" w:color="000000"/>
              <w:left w:val="single" w:sz="4" w:space="0" w:color="000000"/>
              <w:bottom w:val="single" w:sz="4" w:space="0" w:color="000000"/>
              <w:right w:val="single" w:sz="4" w:space="0" w:color="000000"/>
            </w:tcBorders>
            <w:vAlign w:val="center"/>
          </w:tcPr>
          <w:p w14:paraId="066538A3"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109</w:t>
            </w:r>
          </w:p>
        </w:tc>
        <w:tc>
          <w:tcPr>
            <w:tcW w:w="629" w:type="dxa"/>
            <w:tcBorders>
              <w:top w:val="single" w:sz="4" w:space="0" w:color="000000"/>
              <w:left w:val="single" w:sz="4" w:space="0" w:color="000000"/>
              <w:bottom w:val="single" w:sz="4" w:space="0" w:color="000000"/>
              <w:right w:val="single" w:sz="4" w:space="0" w:color="000000"/>
            </w:tcBorders>
            <w:vAlign w:val="center"/>
          </w:tcPr>
          <w:p w14:paraId="743A7DC8"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+21</w:t>
            </w:r>
          </w:p>
        </w:tc>
        <w:tc>
          <w:tcPr>
            <w:tcW w:w="398" w:type="dxa"/>
            <w:tcBorders>
              <w:top w:val="single" w:sz="4" w:space="0" w:color="000000"/>
              <w:left w:val="single" w:sz="4" w:space="0" w:color="000000"/>
              <w:bottom w:val="single" w:sz="4" w:space="0" w:color="000000"/>
              <w:right w:val="single" w:sz="4" w:space="0" w:color="000000"/>
            </w:tcBorders>
            <w:vAlign w:val="center"/>
          </w:tcPr>
          <w:p w14:paraId="02F8672F"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88</w:t>
            </w:r>
          </w:p>
        </w:tc>
        <w:tc>
          <w:tcPr>
            <w:tcW w:w="717" w:type="dxa"/>
            <w:tcBorders>
              <w:top w:val="single" w:sz="4" w:space="0" w:color="000000"/>
              <w:left w:val="single" w:sz="4" w:space="0" w:color="000000"/>
              <w:bottom w:val="single" w:sz="4" w:space="0" w:color="000000"/>
              <w:right w:val="single" w:sz="4" w:space="0" w:color="000000"/>
            </w:tcBorders>
            <w:vAlign w:val="center"/>
          </w:tcPr>
          <w:p w14:paraId="0E9B1D91"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+18</w:t>
            </w:r>
          </w:p>
        </w:tc>
        <w:tc>
          <w:tcPr>
            <w:tcW w:w="629" w:type="dxa"/>
            <w:tcBorders>
              <w:top w:val="single" w:sz="4" w:space="0" w:color="000000"/>
              <w:left w:val="single" w:sz="4" w:space="0" w:color="000000"/>
              <w:bottom w:val="single" w:sz="4" w:space="0" w:color="000000"/>
            </w:tcBorders>
            <w:vAlign w:val="center"/>
          </w:tcPr>
          <w:p w14:paraId="6FC9EC96"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70</w:t>
            </w:r>
          </w:p>
        </w:tc>
      </w:tr>
      <w:tr w:rsidR="00662914" w:rsidRPr="00884A71" w14:paraId="550CD9DE" w14:textId="77777777" w:rsidTr="00662914">
        <w:trPr>
          <w:trHeight w:val="306"/>
        </w:trPr>
        <w:tc>
          <w:tcPr>
            <w:tcW w:w="1553" w:type="dxa"/>
            <w:tcBorders>
              <w:top w:val="single" w:sz="4" w:space="0" w:color="000000"/>
              <w:bottom w:val="single" w:sz="4" w:space="0" w:color="000000"/>
              <w:right w:val="single" w:sz="4" w:space="0" w:color="000000"/>
            </w:tcBorders>
            <w:vAlign w:val="center"/>
          </w:tcPr>
          <w:p w14:paraId="26A28B36"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Оподаткування</w:t>
            </w:r>
          </w:p>
        </w:tc>
        <w:tc>
          <w:tcPr>
            <w:tcW w:w="586" w:type="dxa"/>
            <w:tcBorders>
              <w:top w:val="single" w:sz="4" w:space="0" w:color="000000"/>
              <w:left w:val="single" w:sz="4" w:space="0" w:color="000000"/>
              <w:bottom w:val="single" w:sz="4" w:space="0" w:color="000000"/>
              <w:right w:val="single" w:sz="4" w:space="0" w:color="000000"/>
            </w:tcBorders>
            <w:vAlign w:val="center"/>
          </w:tcPr>
          <w:p w14:paraId="44C35735"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165</w:t>
            </w:r>
          </w:p>
        </w:tc>
        <w:tc>
          <w:tcPr>
            <w:tcW w:w="518" w:type="dxa"/>
            <w:tcBorders>
              <w:top w:val="single" w:sz="4" w:space="0" w:color="000000"/>
              <w:left w:val="single" w:sz="4" w:space="0" w:color="000000"/>
              <w:bottom w:val="single" w:sz="4" w:space="0" w:color="000000"/>
              <w:right w:val="single" w:sz="4" w:space="0" w:color="000000"/>
            </w:tcBorders>
            <w:vAlign w:val="center"/>
          </w:tcPr>
          <w:p w14:paraId="14F555C3"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w:t>
            </w:r>
          </w:p>
        </w:tc>
        <w:tc>
          <w:tcPr>
            <w:tcW w:w="417" w:type="dxa"/>
            <w:tcBorders>
              <w:top w:val="single" w:sz="4" w:space="0" w:color="000000"/>
              <w:left w:val="single" w:sz="4" w:space="0" w:color="000000"/>
              <w:bottom w:val="single" w:sz="4" w:space="0" w:color="000000"/>
              <w:right w:val="single" w:sz="4" w:space="0" w:color="000000"/>
            </w:tcBorders>
            <w:vAlign w:val="center"/>
          </w:tcPr>
          <w:p w14:paraId="22E7D496"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164</w:t>
            </w:r>
          </w:p>
        </w:tc>
        <w:tc>
          <w:tcPr>
            <w:tcW w:w="598" w:type="dxa"/>
            <w:tcBorders>
              <w:top w:val="single" w:sz="4" w:space="0" w:color="000000"/>
              <w:left w:val="single" w:sz="4" w:space="0" w:color="000000"/>
              <w:bottom w:val="single" w:sz="4" w:space="0" w:color="000000"/>
              <w:right w:val="single" w:sz="4" w:space="0" w:color="000000"/>
            </w:tcBorders>
            <w:vAlign w:val="center"/>
          </w:tcPr>
          <w:p w14:paraId="32D3418E"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+56</w:t>
            </w:r>
          </w:p>
        </w:tc>
        <w:tc>
          <w:tcPr>
            <w:tcW w:w="498" w:type="dxa"/>
            <w:tcBorders>
              <w:top w:val="single" w:sz="4" w:space="0" w:color="000000"/>
              <w:left w:val="single" w:sz="4" w:space="0" w:color="000000"/>
              <w:bottom w:val="single" w:sz="4" w:space="0" w:color="000000"/>
              <w:right w:val="single" w:sz="4" w:space="0" w:color="000000"/>
            </w:tcBorders>
            <w:vAlign w:val="center"/>
          </w:tcPr>
          <w:p w14:paraId="6D86ADDD"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108</w:t>
            </w:r>
          </w:p>
        </w:tc>
        <w:tc>
          <w:tcPr>
            <w:tcW w:w="629" w:type="dxa"/>
            <w:tcBorders>
              <w:top w:val="single" w:sz="4" w:space="0" w:color="000000"/>
              <w:left w:val="single" w:sz="4" w:space="0" w:color="000000"/>
              <w:bottom w:val="single" w:sz="4" w:space="0" w:color="000000"/>
              <w:right w:val="single" w:sz="4" w:space="0" w:color="000000"/>
            </w:tcBorders>
            <w:vAlign w:val="center"/>
          </w:tcPr>
          <w:p w14:paraId="62C8E9D9"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w:t>
            </w:r>
          </w:p>
        </w:tc>
        <w:tc>
          <w:tcPr>
            <w:tcW w:w="398" w:type="dxa"/>
            <w:tcBorders>
              <w:top w:val="single" w:sz="4" w:space="0" w:color="000000"/>
              <w:left w:val="single" w:sz="4" w:space="0" w:color="000000"/>
              <w:bottom w:val="single" w:sz="4" w:space="0" w:color="000000"/>
              <w:right w:val="single" w:sz="4" w:space="0" w:color="000000"/>
            </w:tcBorders>
            <w:vAlign w:val="center"/>
          </w:tcPr>
          <w:p w14:paraId="50C01FB2"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107</w:t>
            </w:r>
          </w:p>
        </w:tc>
        <w:tc>
          <w:tcPr>
            <w:tcW w:w="717" w:type="dxa"/>
            <w:tcBorders>
              <w:top w:val="single" w:sz="4" w:space="0" w:color="000000"/>
              <w:left w:val="single" w:sz="4" w:space="0" w:color="000000"/>
              <w:bottom w:val="single" w:sz="4" w:space="0" w:color="000000"/>
              <w:right w:val="single" w:sz="4" w:space="0" w:color="000000"/>
            </w:tcBorders>
            <w:vAlign w:val="center"/>
          </w:tcPr>
          <w:p w14:paraId="758CBEC9"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+23</w:t>
            </w:r>
          </w:p>
        </w:tc>
        <w:tc>
          <w:tcPr>
            <w:tcW w:w="629" w:type="dxa"/>
            <w:tcBorders>
              <w:top w:val="single" w:sz="4" w:space="0" w:color="000000"/>
              <w:left w:val="single" w:sz="4" w:space="0" w:color="000000"/>
              <w:bottom w:val="single" w:sz="4" w:space="0" w:color="000000"/>
            </w:tcBorders>
            <w:vAlign w:val="center"/>
          </w:tcPr>
          <w:p w14:paraId="33801E08"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84</w:t>
            </w:r>
          </w:p>
        </w:tc>
      </w:tr>
      <w:tr w:rsidR="00662914" w:rsidRPr="00884A71" w14:paraId="3437CE48" w14:textId="77777777" w:rsidTr="00662914">
        <w:trPr>
          <w:trHeight w:val="306"/>
        </w:trPr>
        <w:tc>
          <w:tcPr>
            <w:tcW w:w="1553" w:type="dxa"/>
            <w:tcBorders>
              <w:top w:val="single" w:sz="4" w:space="0" w:color="000000"/>
              <w:bottom w:val="single" w:sz="4" w:space="0" w:color="000000"/>
              <w:right w:val="single" w:sz="4" w:space="0" w:color="000000"/>
            </w:tcBorders>
            <w:vAlign w:val="center"/>
          </w:tcPr>
          <w:p w14:paraId="690F05FE"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Міжнародна торгівля</w:t>
            </w:r>
          </w:p>
        </w:tc>
        <w:tc>
          <w:tcPr>
            <w:tcW w:w="586" w:type="dxa"/>
            <w:tcBorders>
              <w:top w:val="single" w:sz="4" w:space="0" w:color="000000"/>
              <w:left w:val="single" w:sz="4" w:space="0" w:color="000000"/>
              <w:bottom w:val="single" w:sz="4" w:space="0" w:color="000000"/>
              <w:right w:val="single" w:sz="4" w:space="0" w:color="000000"/>
            </w:tcBorders>
            <w:vAlign w:val="center"/>
          </w:tcPr>
          <w:p w14:paraId="0065D425"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145</w:t>
            </w:r>
          </w:p>
        </w:tc>
        <w:tc>
          <w:tcPr>
            <w:tcW w:w="518" w:type="dxa"/>
            <w:tcBorders>
              <w:top w:val="single" w:sz="4" w:space="0" w:color="000000"/>
              <w:left w:val="single" w:sz="4" w:space="0" w:color="000000"/>
              <w:bottom w:val="single" w:sz="4" w:space="0" w:color="000000"/>
              <w:right w:val="single" w:sz="4" w:space="0" w:color="000000"/>
            </w:tcBorders>
            <w:vAlign w:val="center"/>
          </w:tcPr>
          <w:p w14:paraId="5D882E03"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-3</w:t>
            </w:r>
          </w:p>
        </w:tc>
        <w:tc>
          <w:tcPr>
            <w:tcW w:w="417" w:type="dxa"/>
            <w:tcBorders>
              <w:top w:val="single" w:sz="4" w:space="0" w:color="000000"/>
              <w:left w:val="single" w:sz="4" w:space="0" w:color="000000"/>
              <w:bottom w:val="single" w:sz="4" w:space="0" w:color="000000"/>
              <w:right w:val="single" w:sz="4" w:space="0" w:color="000000"/>
            </w:tcBorders>
            <w:vAlign w:val="center"/>
          </w:tcPr>
          <w:p w14:paraId="4C5A0720"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148</w:t>
            </w:r>
          </w:p>
        </w:tc>
        <w:tc>
          <w:tcPr>
            <w:tcW w:w="598" w:type="dxa"/>
            <w:tcBorders>
              <w:top w:val="single" w:sz="4" w:space="0" w:color="000000"/>
              <w:left w:val="single" w:sz="4" w:space="0" w:color="000000"/>
              <w:bottom w:val="single" w:sz="4" w:space="0" w:color="000000"/>
              <w:right w:val="single" w:sz="4" w:space="0" w:color="000000"/>
            </w:tcBorders>
            <w:vAlign w:val="center"/>
          </w:tcPr>
          <w:p w14:paraId="34D03D47"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-6</w:t>
            </w:r>
          </w:p>
        </w:tc>
        <w:tc>
          <w:tcPr>
            <w:tcW w:w="498" w:type="dxa"/>
            <w:tcBorders>
              <w:top w:val="single" w:sz="4" w:space="0" w:color="000000"/>
              <w:left w:val="single" w:sz="4" w:space="0" w:color="000000"/>
              <w:bottom w:val="single" w:sz="4" w:space="0" w:color="000000"/>
              <w:right w:val="single" w:sz="4" w:space="0" w:color="000000"/>
            </w:tcBorders>
            <w:vAlign w:val="center"/>
          </w:tcPr>
          <w:p w14:paraId="33CBA0CA"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154</w:t>
            </w:r>
          </w:p>
        </w:tc>
        <w:tc>
          <w:tcPr>
            <w:tcW w:w="629" w:type="dxa"/>
            <w:tcBorders>
              <w:top w:val="single" w:sz="4" w:space="0" w:color="000000"/>
              <w:left w:val="single" w:sz="4" w:space="0" w:color="000000"/>
              <w:bottom w:val="single" w:sz="4" w:space="0" w:color="000000"/>
              <w:right w:val="single" w:sz="4" w:space="0" w:color="000000"/>
            </w:tcBorders>
            <w:vAlign w:val="center"/>
          </w:tcPr>
          <w:p w14:paraId="25E4309D"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+45</w:t>
            </w:r>
          </w:p>
        </w:tc>
        <w:tc>
          <w:tcPr>
            <w:tcW w:w="398" w:type="dxa"/>
            <w:tcBorders>
              <w:top w:val="single" w:sz="4" w:space="0" w:color="000000"/>
              <w:left w:val="single" w:sz="4" w:space="0" w:color="000000"/>
              <w:bottom w:val="single" w:sz="4" w:space="0" w:color="000000"/>
              <w:right w:val="single" w:sz="4" w:space="0" w:color="000000"/>
            </w:tcBorders>
            <w:vAlign w:val="center"/>
          </w:tcPr>
          <w:p w14:paraId="3E29B899"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109</w:t>
            </w:r>
          </w:p>
        </w:tc>
        <w:tc>
          <w:tcPr>
            <w:tcW w:w="717" w:type="dxa"/>
            <w:tcBorders>
              <w:top w:val="single" w:sz="4" w:space="0" w:color="000000"/>
              <w:left w:val="single" w:sz="4" w:space="0" w:color="000000"/>
              <w:bottom w:val="single" w:sz="4" w:space="0" w:color="000000"/>
              <w:right w:val="single" w:sz="4" w:space="0" w:color="000000"/>
            </w:tcBorders>
            <w:vAlign w:val="center"/>
          </w:tcPr>
          <w:p w14:paraId="619B9CF2"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-6</w:t>
            </w:r>
          </w:p>
        </w:tc>
        <w:tc>
          <w:tcPr>
            <w:tcW w:w="629" w:type="dxa"/>
            <w:tcBorders>
              <w:top w:val="single" w:sz="4" w:space="0" w:color="000000"/>
              <w:left w:val="single" w:sz="4" w:space="0" w:color="000000"/>
              <w:bottom w:val="single" w:sz="4" w:space="0" w:color="000000"/>
            </w:tcBorders>
            <w:vAlign w:val="center"/>
          </w:tcPr>
          <w:p w14:paraId="29E0E82D"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115</w:t>
            </w:r>
          </w:p>
        </w:tc>
      </w:tr>
      <w:tr w:rsidR="00662914" w:rsidRPr="00884A71" w14:paraId="05006FAB" w14:textId="77777777" w:rsidTr="00662914">
        <w:trPr>
          <w:trHeight w:val="739"/>
        </w:trPr>
        <w:tc>
          <w:tcPr>
            <w:tcW w:w="1553" w:type="dxa"/>
            <w:tcBorders>
              <w:top w:val="single" w:sz="4" w:space="0" w:color="000000"/>
              <w:bottom w:val="single" w:sz="4" w:space="0" w:color="000000"/>
              <w:right w:val="single" w:sz="4" w:space="0" w:color="000000"/>
            </w:tcBorders>
            <w:vAlign w:val="center"/>
          </w:tcPr>
          <w:p w14:paraId="5BF16204"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Забезпечення виконання контрактів</w:t>
            </w:r>
          </w:p>
        </w:tc>
        <w:tc>
          <w:tcPr>
            <w:tcW w:w="586" w:type="dxa"/>
            <w:tcBorders>
              <w:top w:val="single" w:sz="4" w:space="0" w:color="000000"/>
              <w:left w:val="single" w:sz="4" w:space="0" w:color="000000"/>
              <w:bottom w:val="single" w:sz="4" w:space="0" w:color="000000"/>
              <w:right w:val="single" w:sz="4" w:space="0" w:color="000000"/>
            </w:tcBorders>
            <w:vAlign w:val="center"/>
          </w:tcPr>
          <w:p w14:paraId="564A26B1"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42</w:t>
            </w:r>
          </w:p>
        </w:tc>
        <w:tc>
          <w:tcPr>
            <w:tcW w:w="518" w:type="dxa"/>
            <w:tcBorders>
              <w:top w:val="single" w:sz="4" w:space="0" w:color="000000"/>
              <w:left w:val="single" w:sz="4" w:space="0" w:color="000000"/>
              <w:bottom w:val="single" w:sz="4" w:space="0" w:color="000000"/>
              <w:right w:val="single" w:sz="4" w:space="0" w:color="000000"/>
            </w:tcBorders>
            <w:vAlign w:val="center"/>
          </w:tcPr>
          <w:p w14:paraId="75BB3C13"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-3</w:t>
            </w:r>
          </w:p>
        </w:tc>
        <w:tc>
          <w:tcPr>
            <w:tcW w:w="417" w:type="dxa"/>
            <w:tcBorders>
              <w:top w:val="single" w:sz="4" w:space="0" w:color="000000"/>
              <w:left w:val="single" w:sz="4" w:space="0" w:color="000000"/>
              <w:bottom w:val="single" w:sz="4" w:space="0" w:color="000000"/>
              <w:right w:val="single" w:sz="4" w:space="0" w:color="000000"/>
            </w:tcBorders>
            <w:vAlign w:val="center"/>
          </w:tcPr>
          <w:p w14:paraId="2AFC94B2"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45</w:t>
            </w:r>
          </w:p>
        </w:tc>
        <w:tc>
          <w:tcPr>
            <w:tcW w:w="598" w:type="dxa"/>
            <w:tcBorders>
              <w:top w:val="single" w:sz="4" w:space="0" w:color="000000"/>
              <w:left w:val="single" w:sz="4" w:space="0" w:color="000000"/>
              <w:bottom w:val="single" w:sz="4" w:space="0" w:color="000000"/>
              <w:right w:val="single" w:sz="4" w:space="0" w:color="000000"/>
            </w:tcBorders>
            <w:vAlign w:val="center"/>
          </w:tcPr>
          <w:p w14:paraId="36E14ACE"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+2</w:t>
            </w:r>
          </w:p>
        </w:tc>
        <w:tc>
          <w:tcPr>
            <w:tcW w:w="498" w:type="dxa"/>
            <w:tcBorders>
              <w:top w:val="single" w:sz="4" w:space="0" w:color="000000"/>
              <w:left w:val="single" w:sz="4" w:space="0" w:color="000000"/>
              <w:bottom w:val="single" w:sz="4" w:space="0" w:color="000000"/>
              <w:right w:val="single" w:sz="4" w:space="0" w:color="000000"/>
            </w:tcBorders>
            <w:vAlign w:val="center"/>
          </w:tcPr>
          <w:p w14:paraId="7BFF8804"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43</w:t>
            </w:r>
          </w:p>
        </w:tc>
        <w:tc>
          <w:tcPr>
            <w:tcW w:w="629" w:type="dxa"/>
            <w:tcBorders>
              <w:top w:val="single" w:sz="4" w:space="0" w:color="000000"/>
              <w:left w:val="single" w:sz="4" w:space="0" w:color="000000"/>
              <w:bottom w:val="single" w:sz="4" w:space="0" w:color="000000"/>
              <w:right w:val="single" w:sz="4" w:space="0" w:color="000000"/>
            </w:tcBorders>
            <w:vAlign w:val="center"/>
          </w:tcPr>
          <w:p w14:paraId="1511F0B9"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-55</w:t>
            </w:r>
          </w:p>
        </w:tc>
        <w:tc>
          <w:tcPr>
            <w:tcW w:w="398" w:type="dxa"/>
            <w:tcBorders>
              <w:top w:val="single" w:sz="4" w:space="0" w:color="000000"/>
              <w:left w:val="single" w:sz="4" w:space="0" w:color="000000"/>
              <w:bottom w:val="single" w:sz="4" w:space="0" w:color="000000"/>
              <w:right w:val="single" w:sz="4" w:space="0" w:color="000000"/>
            </w:tcBorders>
            <w:vAlign w:val="center"/>
          </w:tcPr>
          <w:p w14:paraId="6C4CB901"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98</w:t>
            </w:r>
          </w:p>
        </w:tc>
        <w:tc>
          <w:tcPr>
            <w:tcW w:w="717" w:type="dxa"/>
            <w:tcBorders>
              <w:top w:val="single" w:sz="4" w:space="0" w:color="000000"/>
              <w:left w:val="single" w:sz="4" w:space="0" w:color="000000"/>
              <w:bottom w:val="single" w:sz="4" w:space="0" w:color="000000"/>
              <w:right w:val="single" w:sz="4" w:space="0" w:color="000000"/>
            </w:tcBorders>
            <w:vAlign w:val="center"/>
          </w:tcPr>
          <w:p w14:paraId="5662465C"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+17</w:t>
            </w:r>
          </w:p>
        </w:tc>
        <w:tc>
          <w:tcPr>
            <w:tcW w:w="629" w:type="dxa"/>
            <w:tcBorders>
              <w:top w:val="single" w:sz="4" w:space="0" w:color="000000"/>
              <w:left w:val="single" w:sz="4" w:space="0" w:color="000000"/>
              <w:bottom w:val="single" w:sz="4" w:space="0" w:color="000000"/>
            </w:tcBorders>
            <w:vAlign w:val="center"/>
          </w:tcPr>
          <w:p w14:paraId="13321FF3"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81</w:t>
            </w:r>
          </w:p>
        </w:tc>
      </w:tr>
      <w:tr w:rsidR="00662914" w:rsidRPr="00884A71" w14:paraId="16190862" w14:textId="77777777" w:rsidTr="00662914">
        <w:trPr>
          <w:trHeight w:val="845"/>
        </w:trPr>
        <w:tc>
          <w:tcPr>
            <w:tcW w:w="1553" w:type="dxa"/>
            <w:tcBorders>
              <w:top w:val="single" w:sz="4" w:space="0" w:color="000000"/>
              <w:right w:val="single" w:sz="4" w:space="0" w:color="000000"/>
            </w:tcBorders>
            <w:vAlign w:val="center"/>
          </w:tcPr>
          <w:p w14:paraId="7CC8A40C"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Ліквідація підприємств</w:t>
            </w:r>
          </w:p>
        </w:tc>
        <w:tc>
          <w:tcPr>
            <w:tcW w:w="586" w:type="dxa"/>
            <w:tcBorders>
              <w:top w:val="single" w:sz="4" w:space="0" w:color="000000"/>
              <w:left w:val="single" w:sz="4" w:space="0" w:color="000000"/>
              <w:right w:val="single" w:sz="4" w:space="0" w:color="000000"/>
            </w:tcBorders>
            <w:vAlign w:val="center"/>
          </w:tcPr>
          <w:p w14:paraId="384A51A7"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157</w:t>
            </w:r>
          </w:p>
        </w:tc>
        <w:tc>
          <w:tcPr>
            <w:tcW w:w="518" w:type="dxa"/>
            <w:tcBorders>
              <w:top w:val="single" w:sz="4" w:space="0" w:color="000000"/>
              <w:left w:val="single" w:sz="4" w:space="0" w:color="000000"/>
              <w:right w:val="single" w:sz="4" w:space="0" w:color="000000"/>
            </w:tcBorders>
            <w:vAlign w:val="center"/>
          </w:tcPr>
          <w:p w14:paraId="162B3FB9"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-5</w:t>
            </w:r>
          </w:p>
        </w:tc>
        <w:tc>
          <w:tcPr>
            <w:tcW w:w="417" w:type="dxa"/>
            <w:tcBorders>
              <w:top w:val="single" w:sz="4" w:space="0" w:color="000000"/>
              <w:left w:val="single" w:sz="4" w:space="0" w:color="000000"/>
              <w:right w:val="single" w:sz="4" w:space="0" w:color="000000"/>
            </w:tcBorders>
            <w:vAlign w:val="center"/>
          </w:tcPr>
          <w:p w14:paraId="14385DB3"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162</w:t>
            </w:r>
          </w:p>
        </w:tc>
        <w:tc>
          <w:tcPr>
            <w:tcW w:w="598" w:type="dxa"/>
            <w:tcBorders>
              <w:top w:val="single" w:sz="4" w:space="0" w:color="000000"/>
              <w:left w:val="single" w:sz="4" w:space="0" w:color="000000"/>
              <w:right w:val="single" w:sz="4" w:space="0" w:color="000000"/>
            </w:tcBorders>
            <w:vAlign w:val="center"/>
          </w:tcPr>
          <w:p w14:paraId="516F4610"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+20</w:t>
            </w:r>
          </w:p>
        </w:tc>
        <w:tc>
          <w:tcPr>
            <w:tcW w:w="498" w:type="dxa"/>
            <w:tcBorders>
              <w:top w:val="single" w:sz="4" w:space="0" w:color="000000"/>
              <w:left w:val="single" w:sz="4" w:space="0" w:color="000000"/>
              <w:right w:val="single" w:sz="4" w:space="0" w:color="000000"/>
            </w:tcBorders>
            <w:vAlign w:val="center"/>
          </w:tcPr>
          <w:p w14:paraId="34DFA9D5"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142</w:t>
            </w:r>
          </w:p>
        </w:tc>
        <w:tc>
          <w:tcPr>
            <w:tcW w:w="629" w:type="dxa"/>
            <w:tcBorders>
              <w:top w:val="single" w:sz="4" w:space="0" w:color="000000"/>
              <w:left w:val="single" w:sz="4" w:space="0" w:color="000000"/>
              <w:right w:val="single" w:sz="4" w:space="0" w:color="000000"/>
            </w:tcBorders>
            <w:vAlign w:val="center"/>
          </w:tcPr>
          <w:p w14:paraId="038317F0"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w:t>
            </w:r>
          </w:p>
        </w:tc>
        <w:tc>
          <w:tcPr>
            <w:tcW w:w="398" w:type="dxa"/>
            <w:tcBorders>
              <w:top w:val="single" w:sz="4" w:space="0" w:color="000000"/>
              <w:left w:val="single" w:sz="4" w:space="0" w:color="000000"/>
              <w:right w:val="single" w:sz="4" w:space="0" w:color="000000"/>
            </w:tcBorders>
            <w:vAlign w:val="center"/>
          </w:tcPr>
          <w:p w14:paraId="573A1792"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141</w:t>
            </w:r>
          </w:p>
        </w:tc>
        <w:tc>
          <w:tcPr>
            <w:tcW w:w="717" w:type="dxa"/>
            <w:tcBorders>
              <w:top w:val="single" w:sz="4" w:space="0" w:color="000000"/>
              <w:left w:val="single" w:sz="4" w:space="0" w:color="000000"/>
              <w:right w:val="single" w:sz="4" w:space="0" w:color="000000"/>
            </w:tcBorders>
            <w:vAlign w:val="center"/>
          </w:tcPr>
          <w:p w14:paraId="6AA71D85"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-9</w:t>
            </w:r>
          </w:p>
        </w:tc>
        <w:tc>
          <w:tcPr>
            <w:tcW w:w="629" w:type="dxa"/>
            <w:tcBorders>
              <w:top w:val="single" w:sz="4" w:space="0" w:color="000000"/>
              <w:left w:val="single" w:sz="4" w:space="0" w:color="000000"/>
            </w:tcBorders>
            <w:vAlign w:val="center"/>
          </w:tcPr>
          <w:p w14:paraId="28245D38" w14:textId="77777777" w:rsidR="00662914" w:rsidRPr="00884A71" w:rsidRDefault="00662914" w:rsidP="00662914">
            <w:pPr>
              <w:adjustRightInd w:val="0"/>
              <w:snapToGrid w:val="0"/>
              <w:spacing w:after="0" w:line="240" w:lineRule="auto"/>
              <w:rPr>
                <w:rFonts w:ascii="Times New Roman" w:hAnsi="Times New Roman" w:cs="Times New Roman"/>
                <w:sz w:val="16"/>
                <w:szCs w:val="16"/>
              </w:rPr>
            </w:pPr>
            <w:r w:rsidRPr="00884A71">
              <w:rPr>
                <w:rFonts w:ascii="Times New Roman" w:hAnsi="Times New Roman" w:cs="Times New Roman"/>
                <w:sz w:val="16"/>
                <w:szCs w:val="16"/>
              </w:rPr>
              <w:t>150</w:t>
            </w:r>
          </w:p>
        </w:tc>
      </w:tr>
    </w:tbl>
    <w:p w14:paraId="76EBAC36" w14:textId="77777777" w:rsidR="00A1205E" w:rsidRPr="008E7C73" w:rsidRDefault="00A1205E" w:rsidP="00A1205E">
      <w:pPr>
        <w:adjustRightInd w:val="0"/>
        <w:snapToGrid w:val="0"/>
        <w:spacing w:after="0" w:line="240" w:lineRule="auto"/>
        <w:ind w:firstLine="567"/>
        <w:jc w:val="both"/>
        <w:rPr>
          <w:rFonts w:ascii="Times New Roman" w:hAnsi="Times New Roman" w:cs="Times New Roman"/>
          <w:sz w:val="20"/>
          <w:szCs w:val="20"/>
        </w:rPr>
      </w:pPr>
      <w:r w:rsidRPr="008E7C73">
        <w:rPr>
          <w:rFonts w:ascii="Times New Roman" w:hAnsi="Times New Roman" w:cs="Times New Roman"/>
          <w:sz w:val="20"/>
          <w:szCs w:val="20"/>
        </w:rPr>
        <w:t xml:space="preserve">Розвиток екологічного ринку залежить від формування суспільного попиту на екологічні роботи, послуги, товари, обладнання, технології, здорове якісне навколишнє природне середовище. Це спільне завдання і відповідальність державної, громадської й підприємницької систем екологічного управління. Більш </w:t>
      </w:r>
      <w:r w:rsidRPr="008E7C73">
        <w:rPr>
          <w:rFonts w:ascii="Times New Roman" w:hAnsi="Times New Roman" w:cs="Times New Roman"/>
          <w:b/>
          <w:sz w:val="20"/>
          <w:szCs w:val="20"/>
        </w:rPr>
        <w:t>прозора й конкретизована екологічна політика</w:t>
      </w:r>
      <w:r w:rsidRPr="008E7C73">
        <w:rPr>
          <w:rFonts w:ascii="Times New Roman" w:hAnsi="Times New Roman" w:cs="Times New Roman"/>
          <w:sz w:val="20"/>
          <w:szCs w:val="20"/>
        </w:rPr>
        <w:t xml:space="preserve">, системний аналіз й оцінка масштабів і структури регіональних </w:t>
      </w:r>
      <w:r w:rsidRPr="008E7C73">
        <w:rPr>
          <w:rFonts w:ascii="Times New Roman" w:hAnsi="Times New Roman" w:cs="Times New Roman"/>
          <w:sz w:val="20"/>
          <w:szCs w:val="20"/>
        </w:rPr>
        <w:lastRenderedPageBreak/>
        <w:t>екологічних ринків сприяють посиленню попиту на екологічні товари та послуги.</w:t>
      </w:r>
    </w:p>
    <w:p w14:paraId="4A3A923F" w14:textId="77777777" w:rsidR="00A1205E" w:rsidRPr="008E7C73" w:rsidRDefault="00A1205E" w:rsidP="00A1205E">
      <w:pPr>
        <w:adjustRightInd w:val="0"/>
        <w:snapToGrid w:val="0"/>
        <w:spacing w:after="0" w:line="240" w:lineRule="auto"/>
        <w:ind w:firstLine="567"/>
        <w:jc w:val="both"/>
        <w:rPr>
          <w:rFonts w:ascii="Times New Roman" w:hAnsi="Times New Roman" w:cs="Times New Roman"/>
          <w:sz w:val="20"/>
          <w:szCs w:val="20"/>
        </w:rPr>
      </w:pPr>
      <w:r w:rsidRPr="008E7C73">
        <w:rPr>
          <w:rFonts w:ascii="Times New Roman" w:hAnsi="Times New Roman" w:cs="Times New Roman"/>
          <w:sz w:val="20"/>
          <w:szCs w:val="20"/>
        </w:rPr>
        <w:t>Екологічне підприємництво – це переважно малий і середній бізнес, який потребує державної підтримки. Цей бізнес повинен мати рівні права з великим бізнесом у доступі до кредитів і фінансів. На сьогодні правова база розвитку екологічного підприємництва є недосконалою й потребує розвитку механізмів підтримання і стимулювання.</w:t>
      </w:r>
    </w:p>
    <w:p w14:paraId="440953D4" w14:textId="77777777" w:rsidR="00A1205E" w:rsidRPr="008E7C73" w:rsidRDefault="00A1205E" w:rsidP="00A1205E">
      <w:pPr>
        <w:adjustRightInd w:val="0"/>
        <w:snapToGrid w:val="0"/>
        <w:spacing w:after="0" w:line="240" w:lineRule="auto"/>
        <w:ind w:firstLine="567"/>
        <w:jc w:val="both"/>
        <w:rPr>
          <w:rFonts w:ascii="Times New Roman" w:hAnsi="Times New Roman" w:cs="Times New Roman"/>
          <w:sz w:val="20"/>
          <w:szCs w:val="20"/>
        </w:rPr>
      </w:pPr>
      <w:r w:rsidRPr="008E7C73">
        <w:rPr>
          <w:rFonts w:ascii="Times New Roman" w:hAnsi="Times New Roman" w:cs="Times New Roman"/>
          <w:sz w:val="20"/>
          <w:szCs w:val="20"/>
        </w:rPr>
        <w:t>Підсумовуючи вищезазначене, можна стверджувати, що впровадження «зеленого» бізнесу в Україні є інноваційним, прибутковим та перспективним напрямом економічної діяльності. Але його розвиток стримує відсутність фінансування. Саме тому постає завдання пошуку ресурсів для впровадження вітчизняного «зеленого» бізнесу та активізації стимулювання його розвитку.</w:t>
      </w:r>
    </w:p>
    <w:p w14:paraId="34E1B6CC" w14:textId="77777777" w:rsidR="00A1205E" w:rsidRPr="008E7C73" w:rsidRDefault="00A1205E" w:rsidP="00A1205E">
      <w:pPr>
        <w:adjustRightInd w:val="0"/>
        <w:snapToGrid w:val="0"/>
        <w:spacing w:after="0" w:line="240" w:lineRule="auto"/>
        <w:ind w:firstLine="567"/>
        <w:jc w:val="both"/>
        <w:rPr>
          <w:rFonts w:ascii="Times New Roman" w:hAnsi="Times New Roman" w:cs="Times New Roman"/>
          <w:sz w:val="20"/>
          <w:szCs w:val="20"/>
        </w:rPr>
      </w:pPr>
      <w:r w:rsidRPr="008E7C73">
        <w:rPr>
          <w:rFonts w:ascii="Times New Roman" w:hAnsi="Times New Roman" w:cs="Times New Roman"/>
          <w:b/>
          <w:i/>
          <w:sz w:val="20"/>
          <w:szCs w:val="20"/>
        </w:rPr>
        <w:t xml:space="preserve">Напрями стимулювання розвитку «зеленого» бізнесу в Україні. </w:t>
      </w:r>
      <w:r w:rsidRPr="008E7C73">
        <w:rPr>
          <w:rFonts w:ascii="Times New Roman" w:hAnsi="Times New Roman" w:cs="Times New Roman"/>
          <w:sz w:val="20"/>
          <w:szCs w:val="20"/>
        </w:rPr>
        <w:t xml:space="preserve">Важливим інструментом реалізації національної екологічної політики є розвиток партнерства між секторами та залучення до планування й реалізації політики всіх зацікавлених сторін (органи виконавчої влади, приватний сектор, виробники, науковці, громадські організації, органи місцевого самоврядування). Однією з нових можливостей для бізнесу є формування й освоєння світового ринку </w:t>
      </w:r>
      <w:r w:rsidRPr="008E7C73">
        <w:rPr>
          <w:rFonts w:ascii="Times New Roman" w:hAnsi="Times New Roman" w:cs="Times New Roman"/>
          <w:b/>
          <w:sz w:val="20"/>
          <w:szCs w:val="20"/>
        </w:rPr>
        <w:t>екологічних товарів і послуг</w:t>
      </w:r>
      <w:r w:rsidRPr="008E7C73">
        <w:rPr>
          <w:rFonts w:ascii="Times New Roman" w:hAnsi="Times New Roman" w:cs="Times New Roman"/>
          <w:sz w:val="20"/>
          <w:szCs w:val="20"/>
        </w:rPr>
        <w:t>, які швидко розвиваються. Поки що немає чіткої статистики його розвитку. Та він існує і набирає сил, особливо в розвинених країнах.</w:t>
      </w:r>
    </w:p>
    <w:p w14:paraId="522E6E39" w14:textId="77777777" w:rsidR="00A1205E" w:rsidRPr="008E7C73" w:rsidRDefault="00A1205E" w:rsidP="00A1205E">
      <w:pPr>
        <w:adjustRightInd w:val="0"/>
        <w:snapToGrid w:val="0"/>
        <w:spacing w:after="0" w:line="240" w:lineRule="auto"/>
        <w:ind w:firstLine="567"/>
        <w:jc w:val="both"/>
        <w:rPr>
          <w:rFonts w:ascii="Times New Roman" w:hAnsi="Times New Roman" w:cs="Times New Roman"/>
          <w:sz w:val="20"/>
          <w:szCs w:val="20"/>
        </w:rPr>
      </w:pPr>
      <w:r w:rsidRPr="008E7C73">
        <w:rPr>
          <w:rFonts w:ascii="Times New Roman" w:hAnsi="Times New Roman" w:cs="Times New Roman"/>
          <w:sz w:val="20"/>
          <w:szCs w:val="20"/>
        </w:rPr>
        <w:t>Між тим розвиток екологічно орієнтованого бізнесу в Україні здійснюється без координації взаємодії всіх суб'єктів природоохоронної діяльності; немає ефективного механізму формування, підтримки та стимулювання такої діяльності. На сьогодні ринок екологічних послуг в Україні, попри свою відсталість від аналогічних ринків розвинених країн, уже має розгалужену інфраструктуру та широкий спектр послуг. Його можливості забезпечують вітчизняним підприємствам та відповідальним особам використовувати новітні механізми та інструменти, які дозволяють робити якісну оцінку стану підприємств та розробляти більш ефективні стратегії екологічного управління. Наразі більш широке використання на регіональному рівні інновацій ринку екологічних товарів та послуг суттєво підвищило б конкурентоздатність як окремих підприємств, так і всієї нашої держави.</w:t>
      </w:r>
    </w:p>
    <w:p w14:paraId="5A4770CC" w14:textId="77777777" w:rsidR="00A1205E" w:rsidRPr="008E7C73" w:rsidRDefault="00A1205E" w:rsidP="00A1205E">
      <w:pPr>
        <w:adjustRightInd w:val="0"/>
        <w:snapToGrid w:val="0"/>
        <w:spacing w:after="0" w:line="240" w:lineRule="auto"/>
        <w:ind w:firstLine="567"/>
        <w:jc w:val="both"/>
        <w:rPr>
          <w:rFonts w:ascii="Times New Roman" w:hAnsi="Times New Roman" w:cs="Times New Roman"/>
          <w:sz w:val="20"/>
          <w:szCs w:val="20"/>
        </w:rPr>
      </w:pPr>
      <w:r w:rsidRPr="008E7C73">
        <w:rPr>
          <w:rFonts w:ascii="Times New Roman" w:hAnsi="Times New Roman" w:cs="Times New Roman"/>
          <w:sz w:val="20"/>
          <w:szCs w:val="20"/>
        </w:rPr>
        <w:t>Провали ринку в охороні середовища означають необхідність реалізації екологічно збалансованої політики держави, спрямованої на активізацію ринкових сегментів. Серед прикладів неефективності державної політики можна виокремити такі:</w:t>
      </w:r>
    </w:p>
    <w:p w14:paraId="01BF3820" w14:textId="77777777" w:rsidR="00A1205E" w:rsidRPr="008E7C73" w:rsidRDefault="00A1205E" w:rsidP="00A1205E">
      <w:pPr>
        <w:numPr>
          <w:ilvl w:val="0"/>
          <w:numId w:val="38"/>
        </w:numPr>
        <w:adjustRightInd w:val="0"/>
        <w:snapToGrid w:val="0"/>
        <w:spacing w:after="0" w:line="240" w:lineRule="auto"/>
        <w:ind w:left="0" w:firstLine="567"/>
        <w:jc w:val="both"/>
        <w:rPr>
          <w:rFonts w:ascii="Times New Roman" w:hAnsi="Times New Roman" w:cs="Times New Roman"/>
          <w:sz w:val="20"/>
          <w:szCs w:val="20"/>
        </w:rPr>
      </w:pPr>
      <w:r w:rsidRPr="008E7C73">
        <w:rPr>
          <w:rFonts w:ascii="Times New Roman" w:hAnsi="Times New Roman" w:cs="Times New Roman"/>
          <w:sz w:val="20"/>
          <w:szCs w:val="20"/>
        </w:rPr>
        <w:t>надання субсидій (на пестициди, енергію, воду для зрошення й ін.);</w:t>
      </w:r>
    </w:p>
    <w:p w14:paraId="1FD8DA53" w14:textId="77777777" w:rsidR="00A1205E" w:rsidRPr="008E7C73" w:rsidRDefault="00A1205E" w:rsidP="00A1205E">
      <w:pPr>
        <w:numPr>
          <w:ilvl w:val="0"/>
          <w:numId w:val="38"/>
        </w:numPr>
        <w:adjustRightInd w:val="0"/>
        <w:snapToGrid w:val="0"/>
        <w:spacing w:after="0" w:line="240" w:lineRule="auto"/>
        <w:ind w:left="0" w:firstLine="567"/>
        <w:jc w:val="both"/>
        <w:rPr>
          <w:rFonts w:ascii="Times New Roman" w:hAnsi="Times New Roman" w:cs="Times New Roman"/>
          <w:sz w:val="20"/>
          <w:szCs w:val="20"/>
        </w:rPr>
      </w:pPr>
      <w:r w:rsidRPr="008E7C73">
        <w:rPr>
          <w:rFonts w:ascii="Times New Roman" w:hAnsi="Times New Roman" w:cs="Times New Roman"/>
          <w:sz w:val="20"/>
          <w:szCs w:val="20"/>
        </w:rPr>
        <w:t>податкова система (стимулювання еколого дестабілізаційної діяльності в сільському господарстві, енергетиці тощо);</w:t>
      </w:r>
    </w:p>
    <w:p w14:paraId="5D3C6C8F" w14:textId="77777777" w:rsidR="00A1205E" w:rsidRPr="008E7C73" w:rsidRDefault="00A1205E" w:rsidP="00A1205E">
      <w:pPr>
        <w:numPr>
          <w:ilvl w:val="0"/>
          <w:numId w:val="38"/>
        </w:numPr>
        <w:adjustRightInd w:val="0"/>
        <w:snapToGrid w:val="0"/>
        <w:spacing w:after="0" w:line="240" w:lineRule="auto"/>
        <w:ind w:left="0" w:firstLine="567"/>
        <w:jc w:val="both"/>
        <w:rPr>
          <w:rFonts w:ascii="Times New Roman" w:hAnsi="Times New Roman" w:cs="Times New Roman"/>
          <w:sz w:val="20"/>
          <w:szCs w:val="20"/>
        </w:rPr>
      </w:pPr>
      <w:r w:rsidRPr="008E7C73">
        <w:rPr>
          <w:rFonts w:ascii="Times New Roman" w:hAnsi="Times New Roman" w:cs="Times New Roman"/>
          <w:sz w:val="20"/>
          <w:szCs w:val="20"/>
        </w:rPr>
        <w:t>контроль цін;</w:t>
      </w:r>
    </w:p>
    <w:p w14:paraId="721D8296" w14:textId="77777777" w:rsidR="00A1205E" w:rsidRPr="008E7C73" w:rsidRDefault="00A1205E" w:rsidP="00A1205E">
      <w:pPr>
        <w:numPr>
          <w:ilvl w:val="0"/>
          <w:numId w:val="38"/>
        </w:numPr>
        <w:adjustRightInd w:val="0"/>
        <w:snapToGrid w:val="0"/>
        <w:spacing w:after="0" w:line="240" w:lineRule="auto"/>
        <w:ind w:left="0" w:firstLine="567"/>
        <w:jc w:val="both"/>
        <w:rPr>
          <w:rFonts w:ascii="Times New Roman" w:hAnsi="Times New Roman" w:cs="Times New Roman"/>
          <w:sz w:val="20"/>
          <w:szCs w:val="20"/>
        </w:rPr>
      </w:pPr>
      <w:r w:rsidRPr="008E7C73">
        <w:rPr>
          <w:rFonts w:ascii="Times New Roman" w:hAnsi="Times New Roman" w:cs="Times New Roman"/>
          <w:sz w:val="20"/>
          <w:szCs w:val="20"/>
        </w:rPr>
        <w:t>еколого дестабілізацінйа зовнішньоторговельна політика;</w:t>
      </w:r>
    </w:p>
    <w:p w14:paraId="7127B01F" w14:textId="77777777" w:rsidR="00A1205E" w:rsidRPr="008E7C73" w:rsidRDefault="00A1205E" w:rsidP="00A1205E">
      <w:pPr>
        <w:numPr>
          <w:ilvl w:val="0"/>
          <w:numId w:val="38"/>
        </w:numPr>
        <w:adjustRightInd w:val="0"/>
        <w:snapToGrid w:val="0"/>
        <w:spacing w:after="0" w:line="240" w:lineRule="auto"/>
        <w:ind w:left="0" w:firstLine="567"/>
        <w:jc w:val="both"/>
        <w:rPr>
          <w:rFonts w:ascii="Times New Roman" w:hAnsi="Times New Roman" w:cs="Times New Roman"/>
          <w:sz w:val="20"/>
          <w:szCs w:val="20"/>
        </w:rPr>
      </w:pPr>
      <w:r w:rsidRPr="008E7C73">
        <w:rPr>
          <w:rFonts w:ascii="Times New Roman" w:hAnsi="Times New Roman" w:cs="Times New Roman"/>
          <w:sz w:val="20"/>
          <w:szCs w:val="20"/>
        </w:rPr>
        <w:lastRenderedPageBreak/>
        <w:t>непослідовна реформа прав власності;</w:t>
      </w:r>
    </w:p>
    <w:p w14:paraId="1A9C8A61" w14:textId="77777777" w:rsidR="00A1205E" w:rsidRPr="008403D0" w:rsidRDefault="00A1205E" w:rsidP="00A1205E">
      <w:pPr>
        <w:numPr>
          <w:ilvl w:val="0"/>
          <w:numId w:val="38"/>
        </w:numPr>
        <w:adjustRightInd w:val="0"/>
        <w:snapToGrid w:val="0"/>
        <w:spacing w:after="0" w:line="240" w:lineRule="auto"/>
        <w:ind w:left="0" w:firstLine="567"/>
        <w:jc w:val="both"/>
        <w:rPr>
          <w:rFonts w:ascii="Times New Roman" w:hAnsi="Times New Roman" w:cs="Times New Roman"/>
          <w:sz w:val="20"/>
          <w:szCs w:val="20"/>
        </w:rPr>
      </w:pPr>
      <w:r w:rsidRPr="008E7C73">
        <w:rPr>
          <w:rFonts w:ascii="Times New Roman" w:hAnsi="Times New Roman" w:cs="Times New Roman"/>
          <w:sz w:val="20"/>
          <w:szCs w:val="20"/>
        </w:rPr>
        <w:t xml:space="preserve">недоліки в управлінні й моніторингу навколишнього середовища тощо. Типовий приклад одержання негативних екологічних наслідків від втручання держави – </w:t>
      </w:r>
      <w:r w:rsidRPr="008E7C73">
        <w:rPr>
          <w:rFonts w:ascii="Times New Roman" w:hAnsi="Times New Roman" w:cs="Times New Roman"/>
          <w:b/>
          <w:sz w:val="20"/>
          <w:szCs w:val="20"/>
        </w:rPr>
        <w:t>субсидії</w:t>
      </w:r>
      <w:r w:rsidRPr="008E7C73">
        <w:rPr>
          <w:rFonts w:ascii="Times New Roman" w:hAnsi="Times New Roman" w:cs="Times New Roman"/>
          <w:sz w:val="20"/>
          <w:szCs w:val="20"/>
        </w:rPr>
        <w:t>. За даними Всесвітнього банку, у 80-і роки у світі витрачалося понад 250 млрд дол. у рік на субсидування енергії. Велика частка цієї суми (180 млрд дол.) припадала на країни колишнього СРСР і Східної Європи. За оцінками фахівців, більше половини забруднення атмосфери цих країн зобов'язано такій ціновій політиці. Скасування всіх субсидій може дати значний виграш в ефективності і дозволить збільшити бюджетні надходження. Це різко скоротить місцеве атмосферне забруднення і знизить викиди вуглецю на 20% у деяких краї</w:t>
      </w:r>
      <w:r w:rsidRPr="008403D0">
        <w:rPr>
          <w:rFonts w:ascii="Times New Roman" w:hAnsi="Times New Roman" w:cs="Times New Roman"/>
          <w:sz w:val="20"/>
          <w:szCs w:val="20"/>
        </w:rPr>
        <w:t>нах і на 70% в усьому світі .</w:t>
      </w:r>
    </w:p>
    <w:p w14:paraId="02755B1F" w14:textId="77777777" w:rsidR="00A1205E" w:rsidRPr="008E7C73" w:rsidRDefault="00A1205E" w:rsidP="00A1205E">
      <w:pPr>
        <w:adjustRightInd w:val="0"/>
        <w:snapToGrid w:val="0"/>
        <w:spacing w:after="0" w:line="240" w:lineRule="auto"/>
        <w:ind w:firstLine="567"/>
        <w:jc w:val="both"/>
        <w:rPr>
          <w:rFonts w:ascii="Times New Roman" w:hAnsi="Times New Roman" w:cs="Times New Roman"/>
          <w:sz w:val="20"/>
          <w:szCs w:val="20"/>
        </w:rPr>
      </w:pPr>
      <w:r w:rsidRPr="008E7C73">
        <w:rPr>
          <w:rFonts w:ascii="Times New Roman" w:hAnsi="Times New Roman" w:cs="Times New Roman"/>
          <w:sz w:val="20"/>
          <w:szCs w:val="20"/>
        </w:rPr>
        <w:t>Процеси пошуку ефективних регуляторів у цій сфері, їхнього оптимального поєднання почалися в 60-70 роки, коли екологічні проблеми різко загострилися. Країни з ринковою економікою реагували на таке загострення створенням централізованих адміністративних систем управління охороною навколишнього середовища. Акцент робився на законодавчі обмеження шкідливих впливів на довкілля, державне нормування і контроль, а також санкції. Найважливішим принципом прийнятих законів з охорони природи став принцип «забруднювач платить», введений Організацією економічного співробітництва і розвитку (ОЕСР) у 1972 році. Надалі 80-і роки ознаменувалися спробами широкого використання економічних</w:t>
      </w:r>
      <w:r>
        <w:rPr>
          <w:rFonts w:ascii="Times New Roman" w:hAnsi="Times New Roman" w:cs="Times New Roman"/>
          <w:sz w:val="20"/>
          <w:szCs w:val="20"/>
        </w:rPr>
        <w:t xml:space="preserve"> </w:t>
      </w:r>
      <w:r w:rsidRPr="008E7C73">
        <w:rPr>
          <w:rFonts w:ascii="Times New Roman" w:hAnsi="Times New Roman" w:cs="Times New Roman"/>
          <w:sz w:val="20"/>
          <w:szCs w:val="20"/>
        </w:rPr>
        <w:t>регуляторів</w:t>
      </w:r>
      <w:r>
        <w:rPr>
          <w:rFonts w:ascii="Times New Roman" w:hAnsi="Times New Roman" w:cs="Times New Roman"/>
          <w:sz w:val="20"/>
          <w:szCs w:val="20"/>
        </w:rPr>
        <w:t xml:space="preserve"> </w:t>
      </w:r>
      <w:r w:rsidRPr="008E7C73">
        <w:rPr>
          <w:rFonts w:ascii="Times New Roman" w:hAnsi="Times New Roman" w:cs="Times New Roman"/>
          <w:sz w:val="20"/>
          <w:szCs w:val="20"/>
        </w:rPr>
        <w:t>для</w:t>
      </w:r>
      <w:r>
        <w:rPr>
          <w:rFonts w:ascii="Times New Roman" w:hAnsi="Times New Roman" w:cs="Times New Roman"/>
          <w:sz w:val="20"/>
          <w:szCs w:val="20"/>
        </w:rPr>
        <w:t xml:space="preserve"> </w:t>
      </w:r>
      <w:r w:rsidRPr="008E7C73">
        <w:rPr>
          <w:rFonts w:ascii="Times New Roman" w:hAnsi="Times New Roman" w:cs="Times New Roman"/>
          <w:sz w:val="20"/>
          <w:szCs w:val="20"/>
        </w:rPr>
        <w:t>стимулювання</w:t>
      </w:r>
      <w:r>
        <w:rPr>
          <w:rFonts w:ascii="Times New Roman" w:hAnsi="Times New Roman" w:cs="Times New Roman"/>
          <w:sz w:val="20"/>
          <w:szCs w:val="20"/>
        </w:rPr>
        <w:t xml:space="preserve"> </w:t>
      </w:r>
      <w:r w:rsidRPr="008E7C73">
        <w:rPr>
          <w:rFonts w:ascii="Times New Roman" w:hAnsi="Times New Roman" w:cs="Times New Roman"/>
          <w:sz w:val="20"/>
          <w:szCs w:val="20"/>
        </w:rPr>
        <w:t>природоохоронної</w:t>
      </w:r>
      <w:r>
        <w:rPr>
          <w:rFonts w:ascii="Times New Roman" w:hAnsi="Times New Roman" w:cs="Times New Roman"/>
          <w:sz w:val="20"/>
          <w:szCs w:val="20"/>
        </w:rPr>
        <w:t xml:space="preserve"> </w:t>
      </w:r>
      <w:r w:rsidRPr="008E7C73">
        <w:rPr>
          <w:rFonts w:ascii="Times New Roman" w:hAnsi="Times New Roman" w:cs="Times New Roman"/>
          <w:sz w:val="20"/>
          <w:szCs w:val="20"/>
        </w:rPr>
        <w:t>діяльності. Сьогодні у світі в цій сфері нараховується понад 80 різних економічних інструментів. В охороні навколишнього середовища склався своєрідний симбіоз з адміністративних і ринкових механізмів. Проте пошук оптимальних еколого-економічних регуляторів триває.</w:t>
      </w:r>
    </w:p>
    <w:p w14:paraId="6B356A5C" w14:textId="77777777" w:rsidR="00A1205E" w:rsidRPr="008E7C73" w:rsidRDefault="00A1205E" w:rsidP="00A1205E">
      <w:pPr>
        <w:adjustRightInd w:val="0"/>
        <w:snapToGrid w:val="0"/>
        <w:spacing w:after="0" w:line="240" w:lineRule="auto"/>
        <w:ind w:firstLine="567"/>
        <w:jc w:val="both"/>
        <w:rPr>
          <w:rFonts w:ascii="Times New Roman" w:hAnsi="Times New Roman" w:cs="Times New Roman"/>
          <w:sz w:val="20"/>
          <w:szCs w:val="20"/>
        </w:rPr>
      </w:pPr>
      <w:r w:rsidRPr="008E7C73">
        <w:rPr>
          <w:rFonts w:ascii="Times New Roman" w:hAnsi="Times New Roman" w:cs="Times New Roman"/>
          <w:sz w:val="20"/>
          <w:szCs w:val="20"/>
        </w:rPr>
        <w:t>У промислово розвинутих країнах основні результати природоохоронної діяльності (у першу чергу на виробничому рівні) усе більше визначаються розвитком таких недержавних підприємницьких видів природоохоронної діяльності, як екологічний аудит, екологічний менеджмент та екологічне страхування. На сьогодні цей напрямок підприємницьких ініціатив ще недостатньо розвинутий.</w:t>
      </w:r>
    </w:p>
    <w:p w14:paraId="7B3E2ACE" w14:textId="77777777" w:rsidR="00A1205E" w:rsidRPr="008E7C73" w:rsidRDefault="00A1205E" w:rsidP="00A1205E">
      <w:pPr>
        <w:adjustRightInd w:val="0"/>
        <w:snapToGrid w:val="0"/>
        <w:spacing w:after="0" w:line="240" w:lineRule="auto"/>
        <w:ind w:firstLine="567"/>
        <w:jc w:val="both"/>
        <w:rPr>
          <w:rFonts w:ascii="Times New Roman" w:hAnsi="Times New Roman" w:cs="Times New Roman"/>
          <w:sz w:val="20"/>
          <w:szCs w:val="20"/>
        </w:rPr>
      </w:pPr>
      <w:r w:rsidRPr="008E7C73">
        <w:rPr>
          <w:rFonts w:ascii="Times New Roman" w:hAnsi="Times New Roman" w:cs="Times New Roman"/>
          <w:sz w:val="20"/>
          <w:szCs w:val="20"/>
        </w:rPr>
        <w:t>Між тим розвиток ринку екологічних послуг сприятиме створенню екологічної інфраструктури, що також сформує екоіндустрію з поступовим переходом до сталого ведення народного господарства.</w:t>
      </w:r>
    </w:p>
    <w:p w14:paraId="1AFD1A72" w14:textId="77777777" w:rsidR="00A1205E" w:rsidRPr="008E7C73" w:rsidRDefault="00A1205E" w:rsidP="00A1205E">
      <w:pPr>
        <w:adjustRightInd w:val="0"/>
        <w:snapToGrid w:val="0"/>
        <w:spacing w:after="0" w:line="240" w:lineRule="auto"/>
        <w:ind w:firstLine="567"/>
        <w:jc w:val="both"/>
        <w:rPr>
          <w:rFonts w:ascii="Times New Roman" w:hAnsi="Times New Roman" w:cs="Times New Roman"/>
          <w:sz w:val="20"/>
          <w:szCs w:val="20"/>
        </w:rPr>
      </w:pPr>
      <w:r w:rsidRPr="008E7C73">
        <w:rPr>
          <w:rFonts w:ascii="Times New Roman" w:hAnsi="Times New Roman" w:cs="Times New Roman"/>
          <w:sz w:val="20"/>
          <w:szCs w:val="20"/>
        </w:rPr>
        <w:t>Для розвитку малого та середнього екологічного бізнесу та поліпшення умов його діяльності уряду необхідно:</w:t>
      </w:r>
    </w:p>
    <w:p w14:paraId="7AEC59C2" w14:textId="77777777" w:rsidR="00A1205E" w:rsidRPr="008E7C73" w:rsidRDefault="00A1205E" w:rsidP="00A1205E">
      <w:pPr>
        <w:numPr>
          <w:ilvl w:val="0"/>
          <w:numId w:val="37"/>
        </w:numPr>
        <w:adjustRightInd w:val="0"/>
        <w:snapToGrid w:val="0"/>
        <w:spacing w:after="0" w:line="240" w:lineRule="auto"/>
        <w:ind w:left="0" w:firstLine="567"/>
        <w:jc w:val="both"/>
        <w:rPr>
          <w:rFonts w:ascii="Times New Roman" w:hAnsi="Times New Roman" w:cs="Times New Roman"/>
          <w:sz w:val="20"/>
          <w:szCs w:val="20"/>
        </w:rPr>
      </w:pPr>
      <w:r w:rsidRPr="008E7C73">
        <w:rPr>
          <w:rFonts w:ascii="Times New Roman" w:hAnsi="Times New Roman" w:cs="Times New Roman"/>
          <w:sz w:val="20"/>
          <w:szCs w:val="20"/>
        </w:rPr>
        <w:t>спеціальними фінансовими та кредитними важелями стимулювати виробництво екологічних товарів та розвиток сфери екологічних послуг;</w:t>
      </w:r>
    </w:p>
    <w:p w14:paraId="583C5937" w14:textId="77777777" w:rsidR="00A1205E" w:rsidRPr="008E7C73" w:rsidRDefault="00A1205E" w:rsidP="00A1205E">
      <w:pPr>
        <w:numPr>
          <w:ilvl w:val="0"/>
          <w:numId w:val="37"/>
        </w:numPr>
        <w:adjustRightInd w:val="0"/>
        <w:snapToGrid w:val="0"/>
        <w:spacing w:after="0" w:line="240" w:lineRule="auto"/>
        <w:ind w:left="0" w:firstLine="567"/>
        <w:jc w:val="both"/>
        <w:rPr>
          <w:rFonts w:ascii="Times New Roman" w:hAnsi="Times New Roman" w:cs="Times New Roman"/>
          <w:sz w:val="20"/>
          <w:szCs w:val="20"/>
        </w:rPr>
      </w:pPr>
      <w:r w:rsidRPr="008E7C73">
        <w:rPr>
          <w:rFonts w:ascii="Times New Roman" w:hAnsi="Times New Roman" w:cs="Times New Roman"/>
          <w:sz w:val="20"/>
          <w:szCs w:val="20"/>
        </w:rPr>
        <w:t>стимулювати ефективний попит на екологічну продукцію й послуги насамперед політикою «зелених»державних закупівель;</w:t>
      </w:r>
    </w:p>
    <w:p w14:paraId="1E3788FF" w14:textId="77777777" w:rsidR="00A1205E" w:rsidRPr="008E7C73" w:rsidRDefault="00A1205E" w:rsidP="00A1205E">
      <w:pPr>
        <w:numPr>
          <w:ilvl w:val="0"/>
          <w:numId w:val="37"/>
        </w:numPr>
        <w:adjustRightInd w:val="0"/>
        <w:snapToGrid w:val="0"/>
        <w:spacing w:after="0" w:line="240" w:lineRule="auto"/>
        <w:ind w:left="0" w:firstLine="567"/>
        <w:jc w:val="both"/>
        <w:rPr>
          <w:rFonts w:ascii="Times New Roman" w:hAnsi="Times New Roman" w:cs="Times New Roman"/>
          <w:sz w:val="20"/>
          <w:szCs w:val="20"/>
        </w:rPr>
      </w:pPr>
      <w:r w:rsidRPr="008E7C73">
        <w:rPr>
          <w:rFonts w:ascii="Times New Roman" w:hAnsi="Times New Roman" w:cs="Times New Roman"/>
          <w:sz w:val="20"/>
          <w:szCs w:val="20"/>
        </w:rPr>
        <w:t xml:space="preserve">забезпечувати полегшений доступ підприємствам, що виробляють екологічну продукцію, до послуг, що надаються урядовими структурами; </w:t>
      </w:r>
      <w:r w:rsidRPr="008E7C73">
        <w:rPr>
          <w:rFonts w:ascii="Times New Roman" w:hAnsi="Times New Roman" w:cs="Times New Roman"/>
          <w:sz w:val="20"/>
          <w:szCs w:val="20"/>
        </w:rPr>
        <w:lastRenderedPageBreak/>
        <w:t>безпосередньо брати участь у маркетингу й демонстрації зразків екологічних технологій;</w:t>
      </w:r>
    </w:p>
    <w:p w14:paraId="538F5555" w14:textId="77777777" w:rsidR="00A1205E" w:rsidRPr="008E7C73" w:rsidRDefault="00A1205E" w:rsidP="00A1205E">
      <w:pPr>
        <w:numPr>
          <w:ilvl w:val="0"/>
          <w:numId w:val="37"/>
        </w:numPr>
        <w:adjustRightInd w:val="0"/>
        <w:snapToGrid w:val="0"/>
        <w:spacing w:after="0" w:line="240" w:lineRule="auto"/>
        <w:ind w:left="0" w:firstLine="567"/>
        <w:jc w:val="both"/>
        <w:rPr>
          <w:rFonts w:ascii="Times New Roman" w:hAnsi="Times New Roman" w:cs="Times New Roman"/>
          <w:sz w:val="20"/>
          <w:szCs w:val="20"/>
        </w:rPr>
      </w:pPr>
      <w:r w:rsidRPr="008E7C73">
        <w:rPr>
          <w:rFonts w:ascii="Times New Roman" w:hAnsi="Times New Roman" w:cs="Times New Roman"/>
          <w:sz w:val="20"/>
          <w:szCs w:val="20"/>
        </w:rPr>
        <w:t>сприяти «озеленіння» банків (наприклад, упроваджувати програми оцінки  банками  впливу  проектів  на</w:t>
      </w:r>
    </w:p>
    <w:p w14:paraId="3CC98EA6" w14:textId="77777777" w:rsidR="00A1205E" w:rsidRPr="008E7C73" w:rsidRDefault="00A1205E" w:rsidP="00A1205E">
      <w:pPr>
        <w:adjustRightInd w:val="0"/>
        <w:snapToGrid w:val="0"/>
        <w:spacing w:after="0" w:line="240" w:lineRule="auto"/>
        <w:ind w:firstLine="567"/>
        <w:jc w:val="both"/>
        <w:rPr>
          <w:rFonts w:ascii="Times New Roman" w:hAnsi="Times New Roman" w:cs="Times New Roman"/>
          <w:sz w:val="20"/>
          <w:szCs w:val="20"/>
        </w:rPr>
      </w:pPr>
      <w:r w:rsidRPr="008E7C73">
        <w:rPr>
          <w:rFonts w:ascii="Times New Roman" w:hAnsi="Times New Roman" w:cs="Times New Roman"/>
          <w:sz w:val="20"/>
          <w:szCs w:val="20"/>
        </w:rPr>
        <w:t>навколишнє середовище або врахування необхідності інвестицій в охорону навколишнього середовища). Як відомо, розроблення екологічного блоку питань є дуже важливим для отримання кредитів міжнародних фінансових інститутів, зокрема ЄБРР;</w:t>
      </w:r>
    </w:p>
    <w:p w14:paraId="1B7237F2" w14:textId="77777777" w:rsidR="00A1205E" w:rsidRPr="008E7C73" w:rsidRDefault="00A1205E" w:rsidP="00A1205E">
      <w:pPr>
        <w:numPr>
          <w:ilvl w:val="1"/>
          <w:numId w:val="37"/>
        </w:numPr>
        <w:adjustRightInd w:val="0"/>
        <w:snapToGrid w:val="0"/>
        <w:spacing w:after="0" w:line="240" w:lineRule="auto"/>
        <w:ind w:left="0" w:firstLine="567"/>
        <w:jc w:val="both"/>
        <w:rPr>
          <w:rFonts w:ascii="Times New Roman" w:hAnsi="Times New Roman" w:cs="Times New Roman"/>
          <w:sz w:val="20"/>
          <w:szCs w:val="20"/>
        </w:rPr>
      </w:pPr>
      <w:r w:rsidRPr="008E7C73">
        <w:rPr>
          <w:rFonts w:ascii="Times New Roman" w:hAnsi="Times New Roman" w:cs="Times New Roman"/>
          <w:sz w:val="20"/>
          <w:szCs w:val="20"/>
        </w:rPr>
        <w:t>видавати періодичний інформаційний бюлетень, що містить постійно оновлювану інформацію про можливості для проектів, розвитку природоохоронного законодавства, а також національний каталог «Зелені сторінки», який включає перелік екологічних підприємств і виробленої ними продукції і послуг, відкрити відповідну сторінку в Інтернеті. До відома, таку інформацію по інших країнах, зокрема Чехії, Угорщині, Польщі, Словаччині, можна отримати з виданого регіональним екологічним центром «Довідника екологічного бізнесу» для країн Центральної та Східної Європи, по Росії – з недавно виданих «Зелених сторінок»;</w:t>
      </w:r>
    </w:p>
    <w:p w14:paraId="07D8F6E4" w14:textId="77777777" w:rsidR="00A1205E" w:rsidRPr="008E7C73" w:rsidRDefault="00A1205E" w:rsidP="00A1205E">
      <w:pPr>
        <w:numPr>
          <w:ilvl w:val="1"/>
          <w:numId w:val="37"/>
        </w:numPr>
        <w:adjustRightInd w:val="0"/>
        <w:snapToGrid w:val="0"/>
        <w:spacing w:after="0" w:line="240" w:lineRule="auto"/>
        <w:ind w:left="0" w:firstLine="567"/>
        <w:jc w:val="both"/>
        <w:rPr>
          <w:rFonts w:ascii="Times New Roman" w:hAnsi="Times New Roman" w:cs="Times New Roman"/>
          <w:sz w:val="20"/>
          <w:szCs w:val="20"/>
        </w:rPr>
      </w:pPr>
      <w:r w:rsidRPr="008E7C73">
        <w:rPr>
          <w:rFonts w:ascii="Times New Roman" w:hAnsi="Times New Roman" w:cs="Times New Roman"/>
          <w:sz w:val="20"/>
          <w:szCs w:val="20"/>
        </w:rPr>
        <w:t>створювати спільні екологічні підприємства із західними компаніями й</w:t>
      </w:r>
      <w:r>
        <w:rPr>
          <w:rFonts w:ascii="Times New Roman" w:hAnsi="Times New Roman" w:cs="Times New Roman"/>
          <w:sz w:val="20"/>
          <w:szCs w:val="20"/>
        </w:rPr>
        <w:t xml:space="preserve"> </w:t>
      </w:r>
      <w:r w:rsidRPr="008E7C73">
        <w:rPr>
          <w:rFonts w:ascii="Times New Roman" w:hAnsi="Times New Roman" w:cs="Times New Roman"/>
          <w:sz w:val="20"/>
          <w:szCs w:val="20"/>
        </w:rPr>
        <w:t>покращувати експортні можливості: місцеві компанії краще знайомі з умовами та правилами місцевих ринків, а зарубіжні більш досвідчені у сфері маркетингу та менеджменту, володіють великим доступом до фінансових ресурсів і сучасними технологіями;</w:t>
      </w:r>
    </w:p>
    <w:p w14:paraId="2984303E" w14:textId="77777777" w:rsidR="00A1205E" w:rsidRPr="008E7C73" w:rsidRDefault="00A1205E" w:rsidP="00646BA4">
      <w:pPr>
        <w:numPr>
          <w:ilvl w:val="0"/>
          <w:numId w:val="37"/>
        </w:numPr>
        <w:adjustRightInd w:val="0"/>
        <w:snapToGrid w:val="0"/>
        <w:spacing w:after="0" w:line="240" w:lineRule="auto"/>
        <w:ind w:left="0" w:firstLine="567"/>
        <w:jc w:val="both"/>
        <w:rPr>
          <w:rFonts w:ascii="Times New Roman" w:hAnsi="Times New Roman" w:cs="Times New Roman"/>
          <w:sz w:val="20"/>
          <w:szCs w:val="20"/>
        </w:rPr>
      </w:pPr>
      <w:r w:rsidRPr="008E7C73">
        <w:rPr>
          <w:rFonts w:ascii="Times New Roman" w:hAnsi="Times New Roman" w:cs="Times New Roman"/>
          <w:sz w:val="20"/>
          <w:szCs w:val="20"/>
        </w:rPr>
        <w:t>створювати додаткові цільові фонди для інвестування екологічної індустрії, які сприятимуть забезпеченню відповідних підприємств стартовим капіталом і фінансуванню їх на ранніх стадіях розвитку, або виділяти для цього частину вже наявних урядових фондів, наприклад фондів розвитку підприємств, для фінансування постачальників екологічних товарів та послуг.</w:t>
      </w:r>
    </w:p>
    <w:p w14:paraId="223290F6" w14:textId="77777777" w:rsidR="00646BA4" w:rsidRDefault="00A1205E" w:rsidP="00646BA4">
      <w:pPr>
        <w:spacing w:after="0"/>
        <w:jc w:val="both"/>
        <w:rPr>
          <w:rFonts w:ascii="Times New Roman" w:hAnsi="Times New Roman" w:cs="Times New Roman"/>
          <w:b/>
          <w:bCs/>
          <w:sz w:val="16"/>
          <w:szCs w:val="16"/>
        </w:rPr>
      </w:pPr>
      <w:r w:rsidRPr="008E7C73">
        <w:rPr>
          <w:rFonts w:ascii="Times New Roman" w:hAnsi="Times New Roman" w:cs="Times New Roman"/>
          <w:sz w:val="20"/>
          <w:szCs w:val="20"/>
        </w:rPr>
        <w:t>Таким чином, стимулювання розвитку «зеленого» бізнесу в Україні є важливим аспектом формування ринку екологічних послуг, при цьому необхідно забезпечити розроблення обґрунтованого плану дій із застосуванням вимог законодавчо-нормативної системи, а також основних світових тенденцій у регулюванні екологічної безпеки.</w:t>
      </w:r>
    </w:p>
    <w:p w14:paraId="2B283659" w14:textId="2D334032" w:rsidR="00781FB5" w:rsidRPr="00646BA4" w:rsidRDefault="000B1184" w:rsidP="00646BA4">
      <w:pPr>
        <w:spacing w:after="0"/>
        <w:ind w:firstLine="567"/>
        <w:jc w:val="both"/>
        <w:rPr>
          <w:rFonts w:ascii="Times New Roman" w:hAnsi="Times New Roman" w:cs="Times New Roman"/>
          <w:b/>
          <w:bCs/>
          <w:sz w:val="16"/>
          <w:szCs w:val="16"/>
        </w:rPr>
      </w:pPr>
      <w:r w:rsidRPr="00CC4B72">
        <w:rPr>
          <w:rFonts w:ascii="Times New Roman" w:hAnsi="Times New Roman" w:cs="Times New Roman"/>
          <w:b/>
          <w:sz w:val="20"/>
          <w:szCs w:val="20"/>
        </w:rPr>
        <w:t xml:space="preserve"> </w:t>
      </w:r>
      <w:r w:rsidR="00781FB5" w:rsidRPr="00CC4B72">
        <w:rPr>
          <w:rFonts w:ascii="Times New Roman" w:hAnsi="Times New Roman" w:cs="Times New Roman"/>
          <w:b/>
          <w:sz w:val="20"/>
          <w:szCs w:val="20"/>
        </w:rPr>
        <w:t>«</w:t>
      </w:r>
      <w:r w:rsidRPr="00CC4B72">
        <w:rPr>
          <w:rFonts w:ascii="Times New Roman" w:hAnsi="Times New Roman" w:cs="Times New Roman"/>
          <w:b/>
          <w:sz w:val="20"/>
          <w:szCs w:val="20"/>
        </w:rPr>
        <w:t>Д</w:t>
      </w:r>
      <w:r w:rsidR="00781FB5" w:rsidRPr="00CC4B72">
        <w:rPr>
          <w:rFonts w:ascii="Times New Roman" w:hAnsi="Times New Roman" w:cs="Times New Roman"/>
          <w:b/>
          <w:sz w:val="20"/>
          <w:szCs w:val="20"/>
        </w:rPr>
        <w:t xml:space="preserve">екларація тисячоліття» </w:t>
      </w:r>
      <w:r w:rsidR="00781FB5" w:rsidRPr="00CC4B72">
        <w:rPr>
          <w:rFonts w:ascii="Times New Roman" w:hAnsi="Times New Roman" w:cs="Times New Roman"/>
          <w:sz w:val="20"/>
          <w:szCs w:val="20"/>
        </w:rPr>
        <w:t xml:space="preserve">ООН, прийнята у 2000 році 189-ма країнами на </w:t>
      </w:r>
      <w:r w:rsidR="00781FB5" w:rsidRPr="00CC4B72">
        <w:rPr>
          <w:rFonts w:ascii="Times New Roman" w:hAnsi="Times New Roman" w:cs="Times New Roman"/>
          <w:b/>
          <w:sz w:val="20"/>
          <w:szCs w:val="20"/>
        </w:rPr>
        <w:t>Саміті тисячоліття оон</w:t>
      </w:r>
      <w:r w:rsidR="00781FB5" w:rsidRPr="00CC4B72">
        <w:rPr>
          <w:rFonts w:ascii="Times New Roman" w:hAnsi="Times New Roman" w:cs="Times New Roman"/>
          <w:sz w:val="20"/>
          <w:szCs w:val="20"/>
        </w:rPr>
        <w:t xml:space="preserve">, визначила Цілі Розвитку Тисячоліття (ЦРТ), тобто всеосяжні рамки цінностей, принципів і ключових чинників розвитку до 2015 року. Після розроблення універсальних рамок ЦРТ у багатьох країнах світу було здійснено адаптацію ЦРТ та встановлено цільові показники розвитку з урахуванням специфіки національної ситуації. Україна приєдналася до «Декларації тисячоліття» ООН і взяла на себе зобов’язання досягти ЦРТ до 2015 року. Для встановлення стратегiчних рамок нацiонального розвитку України на перiод до 2030 року на засадах принципу </w:t>
      </w:r>
      <w:r w:rsidR="00781FB5" w:rsidRPr="00CC4B72">
        <w:rPr>
          <w:rFonts w:ascii="Times New Roman" w:hAnsi="Times New Roman" w:cs="Times New Roman"/>
          <w:sz w:val="20"/>
          <w:szCs w:val="20"/>
        </w:rPr>
        <w:lastRenderedPageBreak/>
        <w:t>«Нiкого не залишити осторонь» було започатковано інклюзивну адаптацію ЦСР.</w:t>
      </w:r>
    </w:p>
    <w:p w14:paraId="40B9CB19" w14:textId="2FBC66E3" w:rsidR="00781FB5" w:rsidRPr="00CC4B72" w:rsidRDefault="00781FB5"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Водночас імплементація 17 взаємопов’язаних Цілей Сталого Розвитку вимагає системного підходу до «зеленої» трансформації національних економік та здійснення моніторингу.</w:t>
      </w:r>
    </w:p>
    <w:p w14:paraId="6C052435" w14:textId="3C8C7644" w:rsidR="00781FB5" w:rsidRPr="00CC4B72" w:rsidRDefault="00781FB5" w:rsidP="000B1184">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Актуальність розроблення та впровадження індикаторів «зеленої» економіки пов’язана з тим, що вони є основою для кількісного та якісного аналізу «озеленення» економіки країни та стимулювання відповідного економічного розвитку за рахунок встановлення цільових орієнтирів та обмежень, а також здійснення своєчасного контролю та корегування напрямів розвитку, дозволяючи зменшити наслідки дестабілізаційних процесів. Відправною точкою для аналізу ситуації з «озелененням» економіки та формулюванням ефективної концепції «зеленої» економіки для України можуть стати індикатори «зеленого» зростання, розроблені Організацією з економічного співробітництва і розвитку (ОЕСР).</w:t>
      </w:r>
    </w:p>
    <w:p w14:paraId="0345C077" w14:textId="63C578C4" w:rsidR="00781FB5" w:rsidRPr="00CC4B72" w:rsidRDefault="00943D70" w:rsidP="00943D70">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b/>
          <w:sz w:val="20"/>
          <w:szCs w:val="20"/>
        </w:rPr>
        <w:t>О</w:t>
      </w:r>
      <w:r w:rsidR="00781FB5" w:rsidRPr="00CC4B72">
        <w:rPr>
          <w:rFonts w:ascii="Times New Roman" w:hAnsi="Times New Roman" w:cs="Times New Roman"/>
          <w:b/>
          <w:sz w:val="20"/>
          <w:szCs w:val="20"/>
        </w:rPr>
        <w:t xml:space="preserve">цінка міжнародного досвіду з розроблення системи індикаторів суспільного прогресу. </w:t>
      </w:r>
      <w:r w:rsidR="00781FB5" w:rsidRPr="00CC4B72">
        <w:rPr>
          <w:rFonts w:ascii="Times New Roman" w:hAnsi="Times New Roman" w:cs="Times New Roman"/>
          <w:sz w:val="20"/>
          <w:szCs w:val="20"/>
        </w:rPr>
        <w:t>Міжнародні та регіональні організації, окремі країни накопичили значний досвід розроблення, упровадження та використання індикаторів, що дають змогу оцінювати ступінь досягнення цілей на шляху до узгодженого економічного, соціального та екологічного розвитку. Цей досвід є базою для розроблення національної системи індикаторів сталого розвитку як обов’язкового складника Стратегії</w:t>
      </w:r>
      <w:r>
        <w:rPr>
          <w:rFonts w:ascii="Times New Roman" w:hAnsi="Times New Roman" w:cs="Times New Roman"/>
          <w:sz w:val="20"/>
          <w:szCs w:val="20"/>
        </w:rPr>
        <w:t xml:space="preserve"> </w:t>
      </w:r>
      <w:r w:rsidR="00781FB5" w:rsidRPr="00CC4B72">
        <w:rPr>
          <w:rFonts w:ascii="Times New Roman" w:hAnsi="Times New Roman" w:cs="Times New Roman"/>
          <w:sz w:val="20"/>
          <w:szCs w:val="20"/>
        </w:rPr>
        <w:t>«зеленого» розвитку України. Набір індикаторів та показників «зеленого» зростання не є вичерпним та остаточним, водночас він є гнучким, таким, що кожна країна може адаптувати їх до своїх цілей, можливостей, умов та враховувати в економічному та екологічному моделюванні і прогнозуванні економічного та соціального розвитку.</w:t>
      </w:r>
    </w:p>
    <w:p w14:paraId="6400A199" w14:textId="58631227" w:rsidR="00CC4B72" w:rsidRDefault="00781FB5" w:rsidP="00CC4B72">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Багато країн сьогодні впроваджують стратегії сталого розвитку та «зеленої» економіки. Проте методологічні підходи щодо їх індикаторів у різних країнах світу істотно відрізняються. Зазвичай, відрізняють підходи щодо формування індикаторів суспільного прогресу в європейських країнах, країнах Північної Америки, країнах АзіатськоТихоокеанського регіону та країнах пострадянського простору.</w:t>
      </w:r>
    </w:p>
    <w:p w14:paraId="22EAC6AF" w14:textId="42DAEE9C" w:rsidR="00781FB5" w:rsidRPr="00CC4B72" w:rsidRDefault="00781FB5" w:rsidP="00CC4B72">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Моніторинг результатів потребує створення спільної аналітичної системи для оцінки прогресу у сфері «зеленого» зростання (ОЕСР, ЮНЕП, Всесвітній банк). Незважаючи на використання різних підходів до формуванн різних груп показників, ці системи спрямовані на дослідження еволюції природного капіталу країн та його взаємозв'язок з економікою й суспільством у загальному форматі.</w:t>
      </w:r>
    </w:p>
    <w:p w14:paraId="23D4E205" w14:textId="08D8E621" w:rsidR="00781FB5" w:rsidRPr="00CC4B72" w:rsidRDefault="00781FB5"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 xml:space="preserve">На міжнародному рівні цією проблемою займаються спеціальні інститути, численні агентства, організації та комітети, такі як ВООЗ, ООН, ЮНЕСКО, Всесвітній банк, Комітет екологічного моделювання (ISEM), Європейська комісія, ОЕСР, Науковий комітет з проблем навколишнього середовища та ін. Для комплексної оцінки сталості розвитку враховують </w:t>
      </w:r>
      <w:r w:rsidRPr="00CC4B72">
        <w:rPr>
          <w:rFonts w:ascii="Times New Roman" w:hAnsi="Times New Roman" w:cs="Times New Roman"/>
          <w:sz w:val="20"/>
          <w:szCs w:val="20"/>
        </w:rPr>
        <w:lastRenderedPageBreak/>
        <w:t>показники за соціальними, економічними та екологічними аспектами, а також часто виділяють окрему групу інституційних показників. Але на сьогодні особливо актуальною залишається проблема формування індикаторів «зеленої» економіки та їх адаптування до реальних умов країни та регіонів.</w:t>
      </w:r>
    </w:p>
    <w:p w14:paraId="38EFA75E" w14:textId="3AAAAA3A" w:rsidR="00781FB5" w:rsidRPr="00CC4B72" w:rsidRDefault="00781FB5"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Варто відзначити такі проекти з розроблення інтегральних систем індикаторів суспільного розвитку:</w:t>
      </w:r>
    </w:p>
    <w:p w14:paraId="5CF49AE9" w14:textId="07349886" w:rsidR="00781FB5" w:rsidRPr="00CC4B72" w:rsidRDefault="00781FB5" w:rsidP="00030A38">
      <w:pPr>
        <w:numPr>
          <w:ilvl w:val="0"/>
          <w:numId w:val="21"/>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система індикаторів сталого розвитку, яка запропонована Комісією ООН зі сталого розвитку. Агрегований індикатор стійкості встановлює зв'язок між станом природного довкілля та природними ресурсами, з одного боку, і економічними параметрами – з іншого, об’єднуючи екологічні, економічні та соціальні показники, дозволяючи включати екологічний фактор у національні рахунки та показники національного багатства;</w:t>
      </w:r>
    </w:p>
    <w:p w14:paraId="0DCB9CA2" w14:textId="1BE8B558" w:rsidR="00781FB5" w:rsidRPr="00CC4B72" w:rsidRDefault="00781FB5" w:rsidP="00030A38">
      <w:pPr>
        <w:numPr>
          <w:ilvl w:val="0"/>
          <w:numId w:val="21"/>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система</w:t>
      </w:r>
      <w:r w:rsidR="009C2BC3">
        <w:rPr>
          <w:rFonts w:ascii="Times New Roman" w:hAnsi="Times New Roman" w:cs="Times New Roman"/>
          <w:sz w:val="20"/>
          <w:szCs w:val="20"/>
        </w:rPr>
        <w:t xml:space="preserve"> </w:t>
      </w:r>
      <w:r w:rsidRPr="00CC4B72">
        <w:rPr>
          <w:rFonts w:ascii="Times New Roman" w:hAnsi="Times New Roman" w:cs="Times New Roman"/>
          <w:sz w:val="20"/>
          <w:szCs w:val="20"/>
        </w:rPr>
        <w:t>еколого-економічного обліку, яка запропонована Статистичним відділом Секретаріату ООН у 1993 році, метою якої є врахування екологічного чинника в національних статистиках. Особливості її використання пов’язані із застосуванням не тільки ринкових, а й неринкових</w:t>
      </w:r>
      <w:r w:rsidR="00BC0B00" w:rsidRPr="00C37F1C">
        <w:rPr>
          <w:rFonts w:ascii="Times New Roman" w:hAnsi="Times New Roman" w:cs="Times New Roman"/>
          <w:sz w:val="20"/>
          <w:szCs w:val="20"/>
        </w:rPr>
        <w:t xml:space="preserve"> </w:t>
      </w:r>
      <w:r w:rsidRPr="00CC4B72">
        <w:rPr>
          <w:rFonts w:ascii="Times New Roman" w:hAnsi="Times New Roman" w:cs="Times New Roman"/>
          <w:sz w:val="20"/>
          <w:szCs w:val="20"/>
        </w:rPr>
        <w:t>оцінок. Система дозволяє корегувати не тільки ВВП, а й чисту додану вартість та розмір національного багатства;</w:t>
      </w:r>
    </w:p>
    <w:p w14:paraId="57449A56" w14:textId="7A9831AA" w:rsidR="00781FB5" w:rsidRPr="00CC4B72" w:rsidRDefault="00781FB5" w:rsidP="00030A38">
      <w:pPr>
        <w:numPr>
          <w:ilvl w:val="0"/>
          <w:numId w:val="21"/>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екологічні індикатори ОЕСР. Відбір індикаторів спочатку здійснювався за схемою ОЕСР: тиск (на навколишнє середовище), стан (навколишнього середовища), вплив (на навколишнє середовище) тощо.</w:t>
      </w:r>
    </w:p>
    <w:p w14:paraId="7DE1CAE0" w14:textId="2D340E1F" w:rsidR="00781FB5" w:rsidRPr="00CC4B72" w:rsidRDefault="00781FB5"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Визнаючи те, що країни перебувають на різних рівнях, їм пропонується мінімальний список базових індикаторів та типів систем індикаторів, ґрунтуючись на національних пріоритетах і цілях розвитку, а додатково розробляють власні набори індикаторів для апробування та підготовки національних програм з урахуванням задоволення регіональних і національних потреб кожної країни.</w:t>
      </w:r>
    </w:p>
    <w:p w14:paraId="5A30FA52" w14:textId="65F9A972" w:rsidR="00781FB5" w:rsidRPr="00CC4B72" w:rsidRDefault="00781FB5"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Уперше показники «зеленого» зростання запропоновані у звіті ОЕСР «Курс на зелене зростання: моніторинг прогресу», який опублікований у 2011 році за участю 34 країни ОЕСР одночасно зі Стратегією «зеленого» зростання. Запропонована  система  індикаторів</w:t>
      </w:r>
    </w:p>
    <w:p w14:paraId="23FFFAE0" w14:textId="4348C37B" w:rsidR="00781FB5" w:rsidRPr="00CC4B72" w:rsidRDefault="00781FB5"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«зеленого» зростання є результатом попередніх досліджень з вимірювання соціального прогресу, розпочатих у 2008 р. у глобальному проекті «Оцінка суспільного прогресу». Ця ініціатива спрямована на розвиток єдиної системи ключових економічних, соціальних й екологічних індикаторів для забезпечення об’єктивного бачення шляхів еволюції добробуту суспільства. Надалі підхід ОЕСР до моніторингу прогресу щодо «зеленого» зростання був розвинений у Керівництві для країн Східного Партнерства ЄС «Оцінка зеленої трансформації економіки» 2016 року.</w:t>
      </w:r>
    </w:p>
    <w:p w14:paraId="4A18E282" w14:textId="465B0A27" w:rsidR="00781FB5" w:rsidRPr="00CC4B72" w:rsidRDefault="00781FB5" w:rsidP="00727BB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Затвердження переліку індикаторів</w:t>
      </w:r>
      <w:r w:rsidR="00727BB6">
        <w:rPr>
          <w:rFonts w:ascii="Times New Roman" w:hAnsi="Times New Roman" w:cs="Times New Roman"/>
          <w:sz w:val="20"/>
          <w:szCs w:val="20"/>
        </w:rPr>
        <w:t xml:space="preserve"> </w:t>
      </w:r>
      <w:r w:rsidRPr="00CC4B72">
        <w:rPr>
          <w:rFonts w:ascii="Times New Roman" w:hAnsi="Times New Roman" w:cs="Times New Roman"/>
          <w:sz w:val="20"/>
          <w:szCs w:val="20"/>
        </w:rPr>
        <w:t xml:space="preserve">«зеленої» економіки необхідно в форматі розвитку Національної системи еколого-економічного обліку (СЕЕО), яка на сьогодні є міжнародним статистичним стандартом для опису взаємозв'язку між економікою та навколишнім середовищем. СЕЕО слугує </w:t>
      </w:r>
      <w:r w:rsidRPr="00CC4B72">
        <w:rPr>
          <w:rFonts w:ascii="Times New Roman" w:hAnsi="Times New Roman" w:cs="Times New Roman"/>
          <w:sz w:val="20"/>
          <w:szCs w:val="20"/>
        </w:rPr>
        <w:lastRenderedPageBreak/>
        <w:t>мостом між теоретичними міркуваннями про облік багатства й національними</w:t>
      </w:r>
      <w:r w:rsidR="00BC0B00" w:rsidRPr="00C37F1C">
        <w:rPr>
          <w:rFonts w:ascii="Times New Roman" w:hAnsi="Times New Roman" w:cs="Times New Roman"/>
          <w:sz w:val="20"/>
          <w:szCs w:val="20"/>
        </w:rPr>
        <w:t xml:space="preserve"> </w:t>
      </w:r>
      <w:r w:rsidRPr="00CC4B72">
        <w:rPr>
          <w:rFonts w:ascii="Times New Roman" w:hAnsi="Times New Roman" w:cs="Times New Roman"/>
          <w:sz w:val="20"/>
          <w:szCs w:val="20"/>
        </w:rPr>
        <w:t>рахунками, оскільки об'єднує різні класифікації, концепції та підходи в галузі оцінки; є засобом для забезпечення якості та порівнянності даних. Щоб стати ефективною, національна СЕЕО повинна бути наповнена фактичними даними. Після виконання цього завдання вона має надавати інформацію за широким спектром екологічних та економічних проблем на різних рівнях. Конкретними прикладами можуть бути оцінки трендів використання й наявності природних ресурсів, масштаби викидів і скидів у навколишнє середовище у зв'язку з економічною діяльністю, а також масштаби економічної діяльності, що здійснюються в природоохоронних цілях.</w:t>
      </w:r>
    </w:p>
    <w:p w14:paraId="07E1F2D5" w14:textId="7F6426AD" w:rsidR="00781FB5" w:rsidRPr="00CC4B72" w:rsidRDefault="00781FB5" w:rsidP="00727BB6">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b/>
          <w:sz w:val="20"/>
          <w:szCs w:val="20"/>
        </w:rPr>
        <w:t xml:space="preserve">Методологія </w:t>
      </w:r>
      <w:r w:rsidR="00077757" w:rsidRPr="00CC4B72">
        <w:rPr>
          <w:rFonts w:ascii="Times New Roman" w:hAnsi="Times New Roman" w:cs="Times New Roman"/>
          <w:b/>
          <w:sz w:val="20"/>
          <w:szCs w:val="20"/>
        </w:rPr>
        <w:t>ОЕС</w:t>
      </w:r>
      <w:r w:rsidRPr="00CC4B72">
        <w:rPr>
          <w:rFonts w:ascii="Times New Roman" w:hAnsi="Times New Roman" w:cs="Times New Roman"/>
          <w:b/>
          <w:sz w:val="20"/>
          <w:szCs w:val="20"/>
        </w:rPr>
        <w:t xml:space="preserve">Р щодо визначення індикаторів «зеленої» економіки. </w:t>
      </w:r>
      <w:r w:rsidRPr="00CC4B72">
        <w:rPr>
          <w:rFonts w:ascii="Times New Roman" w:hAnsi="Times New Roman" w:cs="Times New Roman"/>
          <w:sz w:val="20"/>
          <w:szCs w:val="20"/>
        </w:rPr>
        <w:t>Для моніторингу прогресу на шляху до «зеленого» зростання ОЕСР пропонує використовувати 5 груп показників, чотири з яких охоплюють різні зрізи «зеленої» економіки, а п’ята – макроекономічні показники національного розвитку (табл. 10.1):</w:t>
      </w:r>
      <w:r w:rsidR="00727BB6">
        <w:rPr>
          <w:rFonts w:ascii="Times New Roman" w:hAnsi="Times New Roman" w:cs="Times New Roman"/>
          <w:sz w:val="20"/>
          <w:szCs w:val="20"/>
        </w:rPr>
        <w:t xml:space="preserve"> </w:t>
      </w:r>
      <w:r w:rsidRPr="00CC4B72">
        <w:rPr>
          <w:rFonts w:ascii="Times New Roman" w:hAnsi="Times New Roman" w:cs="Times New Roman"/>
          <w:sz w:val="20"/>
          <w:szCs w:val="20"/>
        </w:rPr>
        <w:t>продуктивність;</w:t>
      </w:r>
      <w:r w:rsidR="00727BB6">
        <w:rPr>
          <w:rFonts w:ascii="Times New Roman" w:hAnsi="Times New Roman" w:cs="Times New Roman"/>
          <w:sz w:val="20"/>
          <w:szCs w:val="20"/>
        </w:rPr>
        <w:t xml:space="preserve"> </w:t>
      </w:r>
      <w:r w:rsidRPr="00CC4B72">
        <w:rPr>
          <w:rFonts w:ascii="Times New Roman" w:hAnsi="Times New Roman" w:cs="Times New Roman"/>
          <w:sz w:val="20"/>
          <w:szCs w:val="20"/>
        </w:rPr>
        <w:t>база природних активів;</w:t>
      </w:r>
      <w:r w:rsidR="00727BB6">
        <w:rPr>
          <w:rFonts w:ascii="Times New Roman" w:hAnsi="Times New Roman" w:cs="Times New Roman"/>
          <w:sz w:val="20"/>
          <w:szCs w:val="20"/>
        </w:rPr>
        <w:t xml:space="preserve"> </w:t>
      </w:r>
      <w:r w:rsidRPr="00CC4B72">
        <w:rPr>
          <w:rFonts w:ascii="Times New Roman" w:hAnsi="Times New Roman" w:cs="Times New Roman"/>
          <w:sz w:val="20"/>
          <w:szCs w:val="20"/>
        </w:rPr>
        <w:t>екологічні аспекти якості життя;</w:t>
      </w:r>
      <w:r w:rsidR="00727BB6">
        <w:rPr>
          <w:rFonts w:ascii="Times New Roman" w:hAnsi="Times New Roman" w:cs="Times New Roman"/>
          <w:sz w:val="20"/>
          <w:szCs w:val="20"/>
        </w:rPr>
        <w:t xml:space="preserve"> </w:t>
      </w:r>
      <w:r w:rsidRPr="00CC4B72">
        <w:rPr>
          <w:rFonts w:ascii="Times New Roman" w:hAnsi="Times New Roman" w:cs="Times New Roman"/>
          <w:sz w:val="20"/>
          <w:szCs w:val="20"/>
        </w:rPr>
        <w:t>економічні можливості та політичні рішення;</w:t>
      </w:r>
      <w:r w:rsidR="00727BB6">
        <w:rPr>
          <w:rFonts w:ascii="Times New Roman" w:hAnsi="Times New Roman" w:cs="Times New Roman"/>
          <w:sz w:val="20"/>
          <w:szCs w:val="20"/>
        </w:rPr>
        <w:t xml:space="preserve"> </w:t>
      </w:r>
      <w:r w:rsidRPr="00CC4B72">
        <w:rPr>
          <w:rFonts w:ascii="Times New Roman" w:hAnsi="Times New Roman" w:cs="Times New Roman"/>
          <w:sz w:val="20"/>
          <w:szCs w:val="20"/>
        </w:rPr>
        <w:t>соціально-економічний</w:t>
      </w:r>
      <w:r w:rsidR="00727BB6">
        <w:rPr>
          <w:rFonts w:ascii="Times New Roman" w:hAnsi="Times New Roman" w:cs="Times New Roman"/>
          <w:sz w:val="20"/>
          <w:szCs w:val="20"/>
        </w:rPr>
        <w:t xml:space="preserve"> </w:t>
      </w:r>
      <w:r w:rsidRPr="00CC4B72">
        <w:rPr>
          <w:rFonts w:ascii="Times New Roman" w:hAnsi="Times New Roman" w:cs="Times New Roman"/>
          <w:sz w:val="20"/>
          <w:szCs w:val="20"/>
        </w:rPr>
        <w:t>контекст та характеристики економічного зростання.</w:t>
      </w:r>
    </w:p>
    <w:p w14:paraId="022D9167" w14:textId="402CC1F2" w:rsidR="00781FB5" w:rsidRPr="00CC4B72" w:rsidRDefault="00077757"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b/>
          <w:sz w:val="20"/>
          <w:szCs w:val="20"/>
        </w:rPr>
        <w:t xml:space="preserve">І. </w:t>
      </w:r>
      <w:r w:rsidR="00781FB5" w:rsidRPr="00CC4B72">
        <w:rPr>
          <w:rFonts w:ascii="Times New Roman" w:hAnsi="Times New Roman" w:cs="Times New Roman"/>
          <w:b/>
          <w:sz w:val="20"/>
          <w:szCs w:val="20"/>
        </w:rPr>
        <w:t>індикатори екологічна та ресурсна продуктивність</w:t>
      </w:r>
      <w:r w:rsidR="00781FB5" w:rsidRPr="00CC4B72">
        <w:rPr>
          <w:rFonts w:ascii="Times New Roman" w:hAnsi="Times New Roman" w:cs="Times New Roman"/>
          <w:sz w:val="20"/>
          <w:szCs w:val="20"/>
        </w:rPr>
        <w:t xml:space="preserve">, які визначають рівень ефективності використання природного капіталу. </w:t>
      </w:r>
      <w:r w:rsidR="00781FB5" w:rsidRPr="00CC4B72">
        <w:rPr>
          <w:rFonts w:ascii="Times New Roman" w:hAnsi="Times New Roman" w:cs="Times New Roman"/>
          <w:b/>
          <w:sz w:val="20"/>
          <w:szCs w:val="20"/>
        </w:rPr>
        <w:t xml:space="preserve">Показники екологічної та ресурсної продуктивності </w:t>
      </w:r>
      <w:r w:rsidR="00781FB5" w:rsidRPr="00CC4B72">
        <w:rPr>
          <w:rFonts w:ascii="Times New Roman" w:hAnsi="Times New Roman" w:cs="Times New Roman"/>
          <w:sz w:val="20"/>
          <w:szCs w:val="20"/>
        </w:rPr>
        <w:t>описують ключові</w:t>
      </w:r>
    </w:p>
    <w:p w14:paraId="292FBC7D" w14:textId="77777777" w:rsidR="00781FB5" w:rsidRPr="00CC4B72" w:rsidRDefault="00781FB5"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аспекти переходу до низьковуглецевої й ресурсоефективної економіки.</w:t>
      </w:r>
    </w:p>
    <w:p w14:paraId="4300157D" w14:textId="1B598ECE" w:rsidR="00781FB5" w:rsidRPr="00CC4B72" w:rsidRDefault="00781FB5" w:rsidP="00BC0B00">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У багатих на природні ресурси країнах результати економічного розвитку та якість зростання все більше залежать від природного середовища, яке є одночасно постачальником вихідних ресурсів (енергії, води, матеріалів) та поглиначем забруднень і відходів. Ефективне використання первинних ресурсів, мінімізація відходів, їх переробка й перетворення в ресурс підвищують дохідність бізнесу й уповільнюють виснаження бази природних активів.</w:t>
      </w:r>
    </w:p>
    <w:p w14:paraId="75454408" w14:textId="55C82DA1" w:rsidR="00781FB5" w:rsidRPr="00CC4B72" w:rsidRDefault="00781FB5"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До індикаторів екологічної продуктивності належать:</w:t>
      </w:r>
    </w:p>
    <w:p w14:paraId="7D4FEF1F" w14:textId="77777777" w:rsidR="00781FB5" w:rsidRPr="00CC4B72" w:rsidRDefault="00781FB5" w:rsidP="00030A38">
      <w:pPr>
        <w:numPr>
          <w:ilvl w:val="0"/>
          <w:numId w:val="19"/>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вуглецева продуктивність ВВП;</w:t>
      </w:r>
    </w:p>
    <w:p w14:paraId="7E958127" w14:textId="77777777" w:rsidR="00781FB5" w:rsidRPr="00CC4B72" w:rsidRDefault="00781FB5" w:rsidP="00030A38">
      <w:pPr>
        <w:numPr>
          <w:ilvl w:val="0"/>
          <w:numId w:val="19"/>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енергетична продуктивність ВВП. До індикаторів ресурсної продуктив-</w:t>
      </w:r>
    </w:p>
    <w:p w14:paraId="4888AFFA" w14:textId="77777777" w:rsidR="00781FB5" w:rsidRPr="00CC4B72" w:rsidRDefault="00781FB5"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ності належать:</w:t>
      </w:r>
    </w:p>
    <w:p w14:paraId="3ED3D892" w14:textId="7B8B6D8D" w:rsidR="00781FB5" w:rsidRPr="00CC4B72" w:rsidRDefault="00781FB5" w:rsidP="00030A38">
      <w:pPr>
        <w:numPr>
          <w:ilvl w:val="0"/>
          <w:numId w:val="19"/>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матеріальна неенергетична продуктивність ВВП;</w:t>
      </w:r>
    </w:p>
    <w:p w14:paraId="60282F34" w14:textId="77777777" w:rsidR="00781FB5" w:rsidRPr="00CC4B72" w:rsidRDefault="00781FB5" w:rsidP="00030A38">
      <w:pPr>
        <w:numPr>
          <w:ilvl w:val="0"/>
          <w:numId w:val="19"/>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відходопродуктивність ВВП;</w:t>
      </w:r>
    </w:p>
    <w:p w14:paraId="00A7D9C0" w14:textId="77777777" w:rsidR="00781FB5" w:rsidRPr="00CC4B72" w:rsidRDefault="00781FB5" w:rsidP="00030A38">
      <w:pPr>
        <w:numPr>
          <w:ilvl w:val="0"/>
          <w:numId w:val="19"/>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водна продуктивність;</w:t>
      </w:r>
    </w:p>
    <w:p w14:paraId="425957E4" w14:textId="77777777" w:rsidR="00781FB5" w:rsidRPr="00CC4B72" w:rsidRDefault="00781FB5" w:rsidP="00030A38">
      <w:pPr>
        <w:numPr>
          <w:ilvl w:val="0"/>
          <w:numId w:val="19"/>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баланс гумусу та поживних речовин.</w:t>
      </w:r>
    </w:p>
    <w:p w14:paraId="788DA80F" w14:textId="222F4509" w:rsidR="00781FB5" w:rsidRPr="00CC4B72" w:rsidRDefault="00077757"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b/>
          <w:sz w:val="20"/>
          <w:szCs w:val="20"/>
        </w:rPr>
        <w:t xml:space="preserve">ІІ.  </w:t>
      </w:r>
      <w:r w:rsidR="00781FB5" w:rsidRPr="00CC4B72">
        <w:rPr>
          <w:rFonts w:ascii="Times New Roman" w:hAnsi="Times New Roman" w:cs="Times New Roman"/>
          <w:b/>
          <w:sz w:val="20"/>
          <w:szCs w:val="20"/>
        </w:rPr>
        <w:t>індикатори  бази  природних активів</w:t>
      </w:r>
      <w:r w:rsidR="00781FB5" w:rsidRPr="00CC4B72">
        <w:rPr>
          <w:rFonts w:ascii="Times New Roman" w:hAnsi="Times New Roman" w:cs="Times New Roman"/>
          <w:sz w:val="20"/>
          <w:szCs w:val="20"/>
        </w:rPr>
        <w:t xml:space="preserve">, які визначають ризики для економічного стійкого зростання. В інтересах довгострокової стабільності розвитку країни необхідно забезпечувати, щоб </w:t>
      </w:r>
      <w:r w:rsidR="00781FB5" w:rsidRPr="00CC4B72">
        <w:rPr>
          <w:rFonts w:ascii="Times New Roman" w:hAnsi="Times New Roman" w:cs="Times New Roman"/>
          <w:b/>
          <w:sz w:val="20"/>
          <w:szCs w:val="20"/>
        </w:rPr>
        <w:t xml:space="preserve">база природних активів </w:t>
      </w:r>
      <w:r w:rsidR="00781FB5" w:rsidRPr="00CC4B72">
        <w:rPr>
          <w:rFonts w:ascii="Times New Roman" w:hAnsi="Times New Roman" w:cs="Times New Roman"/>
          <w:sz w:val="20"/>
          <w:szCs w:val="20"/>
        </w:rPr>
        <w:t xml:space="preserve">виконувала не тільки ресурсні, а й поглинальні, сервісні функції (біорізноманіття), а навантаження на природне середовище не перевищувало його несучої спроможності. З цією метою відстежують </w:t>
      </w:r>
      <w:r w:rsidR="00781FB5" w:rsidRPr="00CC4B72">
        <w:rPr>
          <w:rFonts w:ascii="Times New Roman" w:hAnsi="Times New Roman" w:cs="Times New Roman"/>
          <w:b/>
          <w:sz w:val="20"/>
          <w:szCs w:val="20"/>
        </w:rPr>
        <w:t xml:space="preserve">показники запасів і </w:t>
      </w:r>
      <w:r w:rsidR="00781FB5" w:rsidRPr="00CC4B72">
        <w:rPr>
          <w:rFonts w:ascii="Times New Roman" w:hAnsi="Times New Roman" w:cs="Times New Roman"/>
          <w:b/>
          <w:sz w:val="20"/>
          <w:szCs w:val="20"/>
        </w:rPr>
        <w:lastRenderedPageBreak/>
        <w:t xml:space="preserve">потоків </w:t>
      </w:r>
      <w:r w:rsidR="00781FB5" w:rsidRPr="00CC4B72">
        <w:rPr>
          <w:rFonts w:ascii="Times New Roman" w:hAnsi="Times New Roman" w:cs="Times New Roman"/>
          <w:sz w:val="20"/>
          <w:szCs w:val="20"/>
        </w:rPr>
        <w:t>відновлюваних (вода, ліс) та невідновлюваних ресурсів (мінеральні ресурси).</w:t>
      </w:r>
    </w:p>
    <w:p w14:paraId="6D7531C5" w14:textId="0A781F2C" w:rsidR="00781FB5" w:rsidRPr="00CC4B72" w:rsidRDefault="00781FB5"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До індикаторів наявності та використання природних ресурсів належать:</w:t>
      </w:r>
    </w:p>
    <w:p w14:paraId="4403492E" w14:textId="77777777" w:rsidR="00781FB5" w:rsidRPr="00CC4B72" w:rsidRDefault="00781FB5" w:rsidP="00030A38">
      <w:pPr>
        <w:numPr>
          <w:ilvl w:val="0"/>
          <w:numId w:val="19"/>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структура земельних ресурсів;</w:t>
      </w:r>
    </w:p>
    <w:p w14:paraId="4D1B31DE" w14:textId="3D50979A" w:rsidR="00781FB5" w:rsidRPr="00CC4B72" w:rsidRDefault="00781FB5" w:rsidP="00030A38">
      <w:pPr>
        <w:numPr>
          <w:ilvl w:val="0"/>
          <w:numId w:val="19"/>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площа сертифікованих сільськогосподарських угідь;</w:t>
      </w:r>
    </w:p>
    <w:p w14:paraId="2754E86B" w14:textId="77777777" w:rsidR="00781FB5" w:rsidRPr="00CC4B72" w:rsidRDefault="00781FB5" w:rsidP="00030A38">
      <w:pPr>
        <w:numPr>
          <w:ilvl w:val="0"/>
          <w:numId w:val="19"/>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частка земель, занятих лісами та лісовими насадженнями;</w:t>
      </w:r>
    </w:p>
    <w:p w14:paraId="7F651161" w14:textId="57D4C6C3" w:rsidR="00781FB5" w:rsidRPr="00CC4B72" w:rsidRDefault="00781FB5" w:rsidP="00030A38">
      <w:pPr>
        <w:numPr>
          <w:ilvl w:val="0"/>
          <w:numId w:val="19"/>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динаміка зміни структури земельного фонду;</w:t>
      </w:r>
    </w:p>
    <w:p w14:paraId="6358C580" w14:textId="77777777" w:rsidR="00781FB5" w:rsidRPr="00CC4B72" w:rsidRDefault="00781FB5" w:rsidP="00030A38">
      <w:pPr>
        <w:numPr>
          <w:ilvl w:val="0"/>
          <w:numId w:val="19"/>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обсяги видобутку прісної води на 1 чол.населення;</w:t>
      </w:r>
    </w:p>
    <w:p w14:paraId="5F9DA4BA" w14:textId="18D9FC30" w:rsidR="00781FB5" w:rsidRPr="00CC4B72" w:rsidRDefault="00781FB5" w:rsidP="00030A38">
      <w:pPr>
        <w:numPr>
          <w:ilvl w:val="0"/>
          <w:numId w:val="19"/>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темпи видобутку невідновлюваних ресурсів.</w:t>
      </w:r>
    </w:p>
    <w:p w14:paraId="4011D11F" w14:textId="5AD0BA0D" w:rsidR="00781FB5" w:rsidRPr="00CC4B72" w:rsidRDefault="00077757" w:rsidP="00154A55">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b/>
          <w:sz w:val="20"/>
          <w:szCs w:val="20"/>
        </w:rPr>
        <w:t>ІІІ</w:t>
      </w:r>
      <w:r w:rsidR="00781FB5" w:rsidRPr="00CC4B72">
        <w:rPr>
          <w:rFonts w:ascii="Times New Roman" w:hAnsi="Times New Roman" w:cs="Times New Roman"/>
          <w:b/>
          <w:sz w:val="20"/>
          <w:szCs w:val="20"/>
        </w:rPr>
        <w:t>. індикатори екологічних аспектів якості життя</w:t>
      </w:r>
      <w:r w:rsidR="00781FB5" w:rsidRPr="00CC4B72">
        <w:rPr>
          <w:rFonts w:ascii="Times New Roman" w:hAnsi="Times New Roman" w:cs="Times New Roman"/>
          <w:sz w:val="20"/>
          <w:szCs w:val="20"/>
        </w:rPr>
        <w:t>, які визначають ризики для здоров’я й безпеки, доступність зручностей та екосистемних послуг, а також вплив навколишнього середовища на систему життєзабезпечення, зокрема, через оцінку доступу до води або руйнівний вплив забрудненого повітря.</w:t>
      </w:r>
    </w:p>
    <w:p w14:paraId="06905FD1" w14:textId="77777777" w:rsidR="00781FB5" w:rsidRPr="00CC4B72" w:rsidRDefault="00781FB5"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До індикаторів екологічних аспектів якості життя належать:</w:t>
      </w:r>
    </w:p>
    <w:p w14:paraId="6BB88853" w14:textId="77777777" w:rsidR="00781FB5" w:rsidRPr="00CC4B72" w:rsidRDefault="00781FB5" w:rsidP="00030A38">
      <w:pPr>
        <w:numPr>
          <w:ilvl w:val="0"/>
          <w:numId w:val="18"/>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рівень забруднення повітря;</w:t>
      </w:r>
    </w:p>
    <w:p w14:paraId="2152C939" w14:textId="0FD04118" w:rsidR="00781FB5" w:rsidRPr="00CC4B72" w:rsidRDefault="00781FB5" w:rsidP="00030A38">
      <w:pPr>
        <w:numPr>
          <w:ilvl w:val="0"/>
          <w:numId w:val="18"/>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середня</w:t>
      </w:r>
      <w:r w:rsidR="009C2BC3">
        <w:rPr>
          <w:rFonts w:ascii="Times New Roman" w:hAnsi="Times New Roman" w:cs="Times New Roman"/>
          <w:sz w:val="20"/>
          <w:szCs w:val="20"/>
        </w:rPr>
        <w:t xml:space="preserve"> </w:t>
      </w:r>
      <w:r w:rsidRPr="00CC4B72">
        <w:rPr>
          <w:rFonts w:ascii="Times New Roman" w:hAnsi="Times New Roman" w:cs="Times New Roman"/>
          <w:sz w:val="20"/>
          <w:szCs w:val="20"/>
        </w:rPr>
        <w:t>очікувана</w:t>
      </w:r>
      <w:r w:rsidR="00077757">
        <w:rPr>
          <w:rFonts w:ascii="Times New Roman" w:hAnsi="Times New Roman" w:cs="Times New Roman"/>
          <w:sz w:val="20"/>
          <w:szCs w:val="20"/>
        </w:rPr>
        <w:t xml:space="preserve"> </w:t>
      </w:r>
      <w:r w:rsidRPr="00CC4B72">
        <w:rPr>
          <w:rFonts w:ascii="Times New Roman" w:hAnsi="Times New Roman" w:cs="Times New Roman"/>
          <w:sz w:val="20"/>
          <w:szCs w:val="20"/>
        </w:rPr>
        <w:t>тривалість життя при народженні;</w:t>
      </w:r>
    </w:p>
    <w:p w14:paraId="7FFE46ED" w14:textId="38105C29" w:rsidR="00781FB5" w:rsidRPr="00CC4B72" w:rsidRDefault="00781FB5" w:rsidP="00030A38">
      <w:pPr>
        <w:numPr>
          <w:ilvl w:val="0"/>
          <w:numId w:val="18"/>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очікувана</w:t>
      </w:r>
      <w:r w:rsidR="00077757">
        <w:rPr>
          <w:rFonts w:ascii="Times New Roman" w:hAnsi="Times New Roman" w:cs="Times New Roman"/>
          <w:sz w:val="20"/>
          <w:szCs w:val="20"/>
        </w:rPr>
        <w:t xml:space="preserve"> </w:t>
      </w:r>
      <w:r w:rsidRPr="00CC4B72">
        <w:rPr>
          <w:rFonts w:ascii="Times New Roman" w:hAnsi="Times New Roman" w:cs="Times New Roman"/>
          <w:sz w:val="20"/>
          <w:szCs w:val="20"/>
        </w:rPr>
        <w:t>тривалість</w:t>
      </w:r>
      <w:r w:rsidR="00077757">
        <w:rPr>
          <w:rFonts w:ascii="Times New Roman" w:hAnsi="Times New Roman" w:cs="Times New Roman"/>
          <w:sz w:val="20"/>
          <w:szCs w:val="20"/>
        </w:rPr>
        <w:t xml:space="preserve"> </w:t>
      </w:r>
      <w:r w:rsidRPr="00CC4B72">
        <w:rPr>
          <w:rFonts w:ascii="Times New Roman" w:hAnsi="Times New Roman" w:cs="Times New Roman"/>
          <w:sz w:val="20"/>
          <w:szCs w:val="20"/>
        </w:rPr>
        <w:t>здорового життя;</w:t>
      </w:r>
    </w:p>
    <w:p w14:paraId="58F3ED47" w14:textId="070F7A96" w:rsidR="00781FB5" w:rsidRPr="00CC4B72" w:rsidRDefault="00781FB5" w:rsidP="00030A38">
      <w:pPr>
        <w:numPr>
          <w:ilvl w:val="0"/>
          <w:numId w:val="18"/>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доступ</w:t>
      </w:r>
      <w:r w:rsidR="009C2BC3">
        <w:rPr>
          <w:rFonts w:ascii="Times New Roman" w:hAnsi="Times New Roman" w:cs="Times New Roman"/>
          <w:sz w:val="20"/>
          <w:szCs w:val="20"/>
        </w:rPr>
        <w:t xml:space="preserve"> </w:t>
      </w:r>
      <w:r w:rsidRPr="00CC4B72">
        <w:rPr>
          <w:rFonts w:ascii="Times New Roman" w:hAnsi="Times New Roman" w:cs="Times New Roman"/>
          <w:sz w:val="20"/>
          <w:szCs w:val="20"/>
        </w:rPr>
        <w:t>до</w:t>
      </w:r>
      <w:r w:rsidR="00077757">
        <w:rPr>
          <w:rFonts w:ascii="Times New Roman" w:hAnsi="Times New Roman" w:cs="Times New Roman"/>
          <w:sz w:val="20"/>
          <w:szCs w:val="20"/>
        </w:rPr>
        <w:t xml:space="preserve"> </w:t>
      </w:r>
      <w:r w:rsidRPr="00CC4B72">
        <w:rPr>
          <w:rFonts w:ascii="Times New Roman" w:hAnsi="Times New Roman" w:cs="Times New Roman"/>
          <w:sz w:val="20"/>
          <w:szCs w:val="20"/>
        </w:rPr>
        <w:t>централізованої каналізації;</w:t>
      </w:r>
    </w:p>
    <w:p w14:paraId="20E2AE50" w14:textId="147E62E9" w:rsidR="00781FB5" w:rsidRPr="00CC4B72" w:rsidRDefault="00781FB5" w:rsidP="00030A38">
      <w:pPr>
        <w:numPr>
          <w:ilvl w:val="0"/>
          <w:numId w:val="18"/>
        </w:numPr>
        <w:adjustRightInd w:val="0"/>
        <w:snapToGrid w:val="0"/>
        <w:spacing w:after="0" w:line="240" w:lineRule="auto"/>
        <w:ind w:left="0" w:firstLine="567"/>
        <w:jc w:val="both"/>
        <w:rPr>
          <w:rFonts w:ascii="Times New Roman" w:hAnsi="Times New Roman" w:cs="Times New Roman"/>
          <w:sz w:val="20"/>
          <w:szCs w:val="20"/>
        </w:rPr>
      </w:pPr>
      <w:r w:rsidRPr="00CC4B72">
        <w:rPr>
          <w:rFonts w:ascii="Times New Roman" w:hAnsi="Times New Roman" w:cs="Times New Roman"/>
          <w:sz w:val="20"/>
          <w:szCs w:val="20"/>
        </w:rPr>
        <w:t>частка домогосподарств, підключених до водопроводу.</w:t>
      </w:r>
    </w:p>
    <w:p w14:paraId="3345EDA8" w14:textId="4FA5447C" w:rsidR="00781FB5" w:rsidRPr="00CC4B72" w:rsidRDefault="00781FB5"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b/>
          <w:sz w:val="20"/>
          <w:szCs w:val="20"/>
        </w:rPr>
        <w:t>IV. індикатори економічних можливостей та політичних рішень</w:t>
      </w:r>
      <w:r w:rsidRPr="00CC4B72">
        <w:rPr>
          <w:rFonts w:ascii="Times New Roman" w:hAnsi="Times New Roman" w:cs="Times New Roman"/>
          <w:sz w:val="20"/>
          <w:szCs w:val="20"/>
        </w:rPr>
        <w:t>, які визначають ефективність політики, її роль на шляху до «зеленого» зростання: інвестиції в зелені види діяльності та розвиток технологій, стимулювання еко-інновацій і «зелених» закупівель, реформування субсидій та цін.</w:t>
      </w:r>
    </w:p>
    <w:p w14:paraId="1CBB2185" w14:textId="77777777" w:rsidR="00781FB5" w:rsidRPr="00CC4B72" w:rsidRDefault="00781FB5"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До цієї групи індикаторів належать:</w:t>
      </w:r>
    </w:p>
    <w:p w14:paraId="5201BCD6" w14:textId="000794E2" w:rsidR="00781FB5" w:rsidRPr="00CC4B72" w:rsidRDefault="00781FB5"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-капітальні</w:t>
      </w:r>
      <w:r w:rsidR="00EE4B53">
        <w:rPr>
          <w:rFonts w:ascii="Times New Roman" w:hAnsi="Times New Roman" w:cs="Times New Roman"/>
          <w:sz w:val="20"/>
          <w:szCs w:val="20"/>
        </w:rPr>
        <w:t xml:space="preserve"> </w:t>
      </w:r>
      <w:r w:rsidRPr="00CC4B72">
        <w:rPr>
          <w:rFonts w:ascii="Times New Roman" w:hAnsi="Times New Roman" w:cs="Times New Roman"/>
          <w:sz w:val="20"/>
          <w:szCs w:val="20"/>
        </w:rPr>
        <w:t>інвестиції</w:t>
      </w:r>
      <w:r w:rsidR="00EE4B53">
        <w:rPr>
          <w:rFonts w:ascii="Times New Roman" w:hAnsi="Times New Roman" w:cs="Times New Roman"/>
          <w:sz w:val="20"/>
          <w:szCs w:val="20"/>
        </w:rPr>
        <w:t xml:space="preserve"> </w:t>
      </w:r>
      <w:r w:rsidRPr="00CC4B72">
        <w:rPr>
          <w:rFonts w:ascii="Times New Roman" w:hAnsi="Times New Roman" w:cs="Times New Roman"/>
          <w:sz w:val="20"/>
          <w:szCs w:val="20"/>
        </w:rPr>
        <w:t>та</w:t>
      </w:r>
      <w:r w:rsidR="00EE4B53">
        <w:rPr>
          <w:rFonts w:ascii="Times New Roman" w:hAnsi="Times New Roman" w:cs="Times New Roman"/>
          <w:sz w:val="20"/>
          <w:szCs w:val="20"/>
        </w:rPr>
        <w:t xml:space="preserve"> </w:t>
      </w:r>
      <w:r w:rsidRPr="00CC4B72">
        <w:rPr>
          <w:rFonts w:ascii="Times New Roman" w:hAnsi="Times New Roman" w:cs="Times New Roman"/>
          <w:sz w:val="20"/>
          <w:szCs w:val="20"/>
        </w:rPr>
        <w:t>поточні витрати на охорону довкілля;</w:t>
      </w:r>
    </w:p>
    <w:p w14:paraId="1816F76B" w14:textId="76F9EB41" w:rsidR="00781FB5" w:rsidRPr="00CC4B72" w:rsidRDefault="00781FB5" w:rsidP="00EE4B53">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-витрати на наукові дослідження та</w:t>
      </w:r>
      <w:r w:rsidR="00EE4B53">
        <w:rPr>
          <w:rFonts w:ascii="Times New Roman" w:hAnsi="Times New Roman" w:cs="Times New Roman"/>
          <w:sz w:val="20"/>
          <w:szCs w:val="20"/>
        </w:rPr>
        <w:t xml:space="preserve"> </w:t>
      </w:r>
      <w:r w:rsidRPr="00CC4B72">
        <w:rPr>
          <w:rFonts w:ascii="Times New Roman" w:hAnsi="Times New Roman" w:cs="Times New Roman"/>
          <w:sz w:val="20"/>
          <w:szCs w:val="20"/>
        </w:rPr>
        <w:t>«зелені»інновації.</w:t>
      </w:r>
    </w:p>
    <w:p w14:paraId="441E8EE0" w14:textId="1C82CD45" w:rsidR="00781FB5" w:rsidRPr="00CC4B72" w:rsidRDefault="00781FB5"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b/>
          <w:sz w:val="20"/>
          <w:szCs w:val="20"/>
        </w:rPr>
        <w:t>V. індикатори, пов’язані із соціально-економічним контекстом та характеристиками економічного зростання</w:t>
      </w:r>
      <w:r w:rsidRPr="00CC4B72">
        <w:rPr>
          <w:rFonts w:ascii="Times New Roman" w:hAnsi="Times New Roman" w:cs="Times New Roman"/>
          <w:sz w:val="20"/>
          <w:szCs w:val="20"/>
        </w:rPr>
        <w:t>, використовуються для відображення результатів «зеленої» трансформації на макрорівні, включаючи задіяння додаткових джерел зростання, зміни економічної структури, зайнятості та ринків праці, підвищення доходів і конкурентоспроможності бізнесу та економіки в цілому.</w:t>
      </w:r>
    </w:p>
    <w:p w14:paraId="7875B06F" w14:textId="19804978" w:rsidR="00781FB5" w:rsidRPr="00CC4B72" w:rsidRDefault="00943D70" w:rsidP="00943D70">
      <w:pPr>
        <w:adjustRightInd w:val="0"/>
        <w:snapToGrid w:val="0"/>
        <w:spacing w:after="0" w:line="240" w:lineRule="auto"/>
        <w:ind w:firstLine="567"/>
        <w:jc w:val="both"/>
        <w:rPr>
          <w:rFonts w:ascii="Times New Roman" w:hAnsi="Times New Roman" w:cs="Times New Roman"/>
          <w:sz w:val="20"/>
          <w:szCs w:val="20"/>
        </w:rPr>
      </w:pPr>
      <w:r>
        <w:rPr>
          <w:rFonts w:ascii="Times New Roman" w:hAnsi="Times New Roman" w:cs="Times New Roman"/>
          <w:b/>
          <w:sz w:val="20"/>
          <w:szCs w:val="20"/>
        </w:rPr>
        <w:t>А</w:t>
      </w:r>
      <w:r w:rsidR="00781FB5" w:rsidRPr="00CC4B72">
        <w:rPr>
          <w:rFonts w:ascii="Times New Roman" w:hAnsi="Times New Roman" w:cs="Times New Roman"/>
          <w:b/>
          <w:sz w:val="20"/>
          <w:szCs w:val="20"/>
        </w:rPr>
        <w:t xml:space="preserve">даптація показників «зеленого» зростання для України. </w:t>
      </w:r>
      <w:r w:rsidR="00781FB5" w:rsidRPr="00CC4B72">
        <w:rPr>
          <w:rFonts w:ascii="Times New Roman" w:hAnsi="Times New Roman" w:cs="Times New Roman"/>
          <w:sz w:val="20"/>
          <w:szCs w:val="20"/>
        </w:rPr>
        <w:t xml:space="preserve">Роботу над адаптацією показників «зеленого» зростання (ПЗР) для України було розпочато  у  2013  р.  за  фінансової  підтримки ЄС. Було створено міжвідомчу робочу групу в складі представників Міністерства економічного розвитку і торгівлі, Міністерства екології та природних ресурсів, Державної служби статистики, Державного агентства з енергоефективності та енергозбереження, низки науково-дослідних інститутів і недержавних організацій. Крім того, Міністерством екології та природних ресурсів створено робочу групу, яка займалася підготовкою індикаторів оцінки реалізації цілей Стратегії </w:t>
      </w:r>
      <w:r w:rsidR="00781FB5" w:rsidRPr="00CC4B72">
        <w:rPr>
          <w:rFonts w:ascii="Times New Roman" w:hAnsi="Times New Roman" w:cs="Times New Roman"/>
          <w:sz w:val="20"/>
          <w:szCs w:val="20"/>
        </w:rPr>
        <w:lastRenderedPageBreak/>
        <w:t>державної екологічної політики України до 2020 року з урахуванням практики ЄЕК ООН, ОЕСР та інших міжнародних організацій. Актуальність розроблення та впровадження індикаторів «зеленої» економіки в Україні пов’язана з тим, що вони є основою для кількісного та якісного аналізу «озеленення» економіки країни та стимулювання відповідного економічного розвитку за рахунок встановлення цільових орієнтирів та обмежувань з метою здійснення своєчасного контролю та корегування напрямів розвитку, дозволяючи зменшити наслідки дестабілізаційних процесів. Ідея полягає в тому, щоб на основі узагальнення кращого світового досвіду розробити підходи до створення ефективної системи індикаторів «зеленої» економіки в Україні, яка висвітлюватиме різні складники «зеленого» розвитку країни,  сформує  систему  інформації  про</w:t>
      </w:r>
      <w:r>
        <w:rPr>
          <w:rFonts w:ascii="Times New Roman" w:hAnsi="Times New Roman" w:cs="Times New Roman"/>
          <w:sz w:val="20"/>
          <w:szCs w:val="20"/>
        </w:rPr>
        <w:t xml:space="preserve"> </w:t>
      </w:r>
      <w:r w:rsidR="00781FB5" w:rsidRPr="00CC4B72">
        <w:rPr>
          <w:rFonts w:ascii="Times New Roman" w:hAnsi="Times New Roman" w:cs="Times New Roman"/>
          <w:sz w:val="20"/>
          <w:szCs w:val="20"/>
        </w:rPr>
        <w:t>«зелений» розвиток держави, галузей</w:t>
      </w:r>
    </w:p>
    <w:p w14:paraId="55FE888F" w14:textId="698F3112" w:rsidR="00781FB5" w:rsidRPr="00CC4B72" w:rsidRDefault="00781FB5"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та регіонів відповідно до сучасних виклків, слугуватиме дієвим інструментом боротьби з корупцією.</w:t>
      </w:r>
    </w:p>
    <w:p w14:paraId="20C9C811" w14:textId="69232D61" w:rsidR="00781FB5" w:rsidRPr="00CC4B72" w:rsidRDefault="00781FB5"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Важливість індикаторів для України підтверджуються міркуваннями і фактами, які свідчать про необхідність моніторингу спеціально відібраних сигнальних показників ОЕСР.</w:t>
      </w:r>
    </w:p>
    <w:p w14:paraId="780D0026" w14:textId="77777777" w:rsidR="00781FB5" w:rsidRPr="00CC4B72" w:rsidRDefault="00781FB5"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Україна приєдналася до заключного документа Конференції ООН «Ріо+20»</w:t>
      </w:r>
    </w:p>
    <w:p w14:paraId="25CBB90D" w14:textId="676DED69" w:rsidR="00781FB5" w:rsidRPr="00CC4B72" w:rsidRDefault="00781FB5"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«Майбутнє, яке ми обираємо»; проголосила в Державній програмі розвитку внутрішнього виробництва до 2015 року стратегічні завдання і напрямки екологізації та підвищення енергоефективності   виробництва;   затвердила</w:t>
      </w:r>
    </w:p>
    <w:p w14:paraId="1386FC52" w14:textId="71E37E72" w:rsidR="00781FB5" w:rsidRPr="00CC4B72" w:rsidRDefault="00781FB5"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Стратегію державної екологічної політики на період до 2020 р. і прийняла до виконання комплекс заходів щодо їх реалізації. У цих документах пріоритетним завданням визначено перехід національної економіки до «зеленої» моделі розвитку на засадах сталого виробництва і споживання.</w:t>
      </w:r>
    </w:p>
    <w:p w14:paraId="3C8A8C0A" w14:textId="4CAEDB56" w:rsidR="00781FB5" w:rsidRPr="00CC4B72" w:rsidRDefault="00781FB5"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Особливо важливими на сьогодні є побудова цілісної концепції «зеленої» економіки та системи статистичного забезпечення для комплексного відображення «зеленого» розвитку для формування науково обґрунтованої системи прийняття рішень.</w:t>
      </w:r>
    </w:p>
    <w:p w14:paraId="2A2B2297" w14:textId="6B2150F3" w:rsidR="00781FB5" w:rsidRPr="00CC4B72" w:rsidRDefault="00781FB5"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Моніторинг запропонованих ОЕСР груп показників досягнення цілей і успішності виконання всіх заходів і завдань вищезазначених нормативноправових актів цілком прийнятний і для України.</w:t>
      </w:r>
    </w:p>
    <w:p w14:paraId="53DAD538" w14:textId="77777777" w:rsidR="00781FB5" w:rsidRPr="00CC4B72" w:rsidRDefault="00781FB5"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На  базі  критеріїв  та  індикаторів</w:t>
      </w:r>
    </w:p>
    <w:p w14:paraId="0D32A16F" w14:textId="782B6AE4" w:rsidR="00781FB5" w:rsidRPr="00CC4B72" w:rsidRDefault="00781FB5"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«зеленого» зростання ОЕРС експертами УкрНТІ запропоновано систему кількісних значень цільових індикаторів, наявних у законодавстві щодо цілей</w:t>
      </w:r>
    </w:p>
    <w:p w14:paraId="6A67DBDD" w14:textId="77777777" w:rsidR="00781FB5" w:rsidRPr="00CC4B72" w:rsidRDefault="00781FB5"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«зеленого» розвитку. Із запропонованих ОЕСР у 2011 та 2014 роках понад 100 основних і допоміжних ПЗР розглянуто 80 показників, адаптовано для України 60 показників, з яких:</w:t>
      </w:r>
    </w:p>
    <w:p w14:paraId="2D6AA47F" w14:textId="77777777" w:rsidR="00781FB5" w:rsidRPr="00CC4B72" w:rsidRDefault="00781FB5"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47 показників повністю відповідають методології розрахунку ОЕСР;</w:t>
      </w:r>
    </w:p>
    <w:p w14:paraId="6F357599" w14:textId="77777777" w:rsidR="00781FB5" w:rsidRPr="00CC4B72" w:rsidRDefault="00781FB5" w:rsidP="0012192B">
      <w:pPr>
        <w:adjustRightInd w:val="0"/>
        <w:snapToGrid w:val="0"/>
        <w:spacing w:after="0" w:line="240" w:lineRule="auto"/>
        <w:ind w:firstLine="567"/>
        <w:jc w:val="both"/>
        <w:rPr>
          <w:rFonts w:ascii="Times New Roman" w:hAnsi="Times New Roman" w:cs="Times New Roman"/>
          <w:sz w:val="20"/>
          <w:szCs w:val="20"/>
        </w:rPr>
      </w:pPr>
      <w:r w:rsidRPr="00CC4B72">
        <w:rPr>
          <w:rFonts w:ascii="Times New Roman" w:hAnsi="Times New Roman" w:cs="Times New Roman"/>
          <w:sz w:val="20"/>
          <w:szCs w:val="20"/>
        </w:rPr>
        <w:t>13 показників частково відповідають з невеликою зміною методики;</w:t>
      </w:r>
    </w:p>
    <w:p w14:paraId="70ED6A23" w14:textId="34B0AD55" w:rsidR="00781FB5" w:rsidRPr="00FF74EB" w:rsidRDefault="00781FB5" w:rsidP="0012192B">
      <w:pPr>
        <w:adjustRightInd w:val="0"/>
        <w:snapToGrid w:val="0"/>
        <w:spacing w:after="0" w:line="240" w:lineRule="auto"/>
        <w:ind w:firstLine="567"/>
        <w:jc w:val="both"/>
        <w:rPr>
          <w:rFonts w:ascii="Times New Roman" w:hAnsi="Times New Roman" w:cs="Times New Roman"/>
          <w:sz w:val="20"/>
          <w:szCs w:val="20"/>
        </w:rPr>
      </w:pPr>
      <w:r w:rsidRPr="00FF74EB">
        <w:rPr>
          <w:rFonts w:ascii="Times New Roman" w:hAnsi="Times New Roman" w:cs="Times New Roman"/>
          <w:sz w:val="20"/>
          <w:szCs w:val="20"/>
        </w:rPr>
        <w:lastRenderedPageBreak/>
        <w:t>7 показників немає можливості відстежувати або розраховувати, замість них до переліку показників ОЕСР додано 7 додаткових показників.</w:t>
      </w:r>
    </w:p>
    <w:p w14:paraId="5F0DAEC8" w14:textId="3D0537A6" w:rsidR="00781FB5" w:rsidRPr="00FF74EB" w:rsidRDefault="00781FB5" w:rsidP="0012192B">
      <w:pPr>
        <w:adjustRightInd w:val="0"/>
        <w:snapToGrid w:val="0"/>
        <w:spacing w:after="0" w:line="240" w:lineRule="auto"/>
        <w:ind w:firstLine="567"/>
        <w:jc w:val="both"/>
        <w:rPr>
          <w:rFonts w:ascii="Times New Roman" w:hAnsi="Times New Roman" w:cs="Times New Roman"/>
          <w:sz w:val="20"/>
          <w:szCs w:val="20"/>
        </w:rPr>
      </w:pPr>
      <w:r w:rsidRPr="00FF74EB">
        <w:rPr>
          <w:rFonts w:ascii="Times New Roman" w:hAnsi="Times New Roman" w:cs="Times New Roman"/>
          <w:sz w:val="20"/>
          <w:szCs w:val="20"/>
        </w:rPr>
        <w:t>Методикою відбору показників для України є послідовність таких трьох пунктів: оцінювання охоплення українською статистикою системи показників ОЕСР; оцінювання відповідності конкретних показників програмним і стратегічним цілям та потребам національної економіки; виявлення заміщувальних і додаткових показників.</w:t>
      </w:r>
    </w:p>
    <w:p w14:paraId="0DC96CBA" w14:textId="7CB36675" w:rsidR="00781FB5" w:rsidRPr="00FF74EB" w:rsidRDefault="00781FB5" w:rsidP="00EE4B53">
      <w:pPr>
        <w:adjustRightInd w:val="0"/>
        <w:snapToGrid w:val="0"/>
        <w:spacing w:after="0" w:line="240" w:lineRule="auto"/>
        <w:ind w:firstLine="567"/>
        <w:jc w:val="both"/>
        <w:rPr>
          <w:rFonts w:ascii="Times New Roman" w:hAnsi="Times New Roman" w:cs="Times New Roman"/>
          <w:sz w:val="20"/>
          <w:szCs w:val="20"/>
        </w:rPr>
      </w:pPr>
      <w:r w:rsidRPr="00FF74EB">
        <w:rPr>
          <w:rFonts w:ascii="Times New Roman" w:hAnsi="Times New Roman" w:cs="Times New Roman"/>
          <w:sz w:val="20"/>
          <w:szCs w:val="20"/>
        </w:rPr>
        <w:t>Практично всі показники, що пропонуються ОЕСР, є наявними в українській статистичній базі або можуть бути розраховані на їхній основі. Відповідні</w:t>
      </w:r>
      <w:r w:rsidR="00EE4B53" w:rsidRPr="00FF74EB">
        <w:rPr>
          <w:rFonts w:ascii="Times New Roman" w:hAnsi="Times New Roman" w:cs="Times New Roman"/>
          <w:sz w:val="20"/>
          <w:szCs w:val="20"/>
        </w:rPr>
        <w:t xml:space="preserve"> </w:t>
      </w:r>
      <w:r w:rsidRPr="00FF74EB">
        <w:rPr>
          <w:rFonts w:ascii="Times New Roman" w:hAnsi="Times New Roman" w:cs="Times New Roman"/>
          <w:sz w:val="20"/>
          <w:szCs w:val="20"/>
        </w:rPr>
        <w:t>значення індикаторів визначені законодавчими та нормативно-правовими актами України.</w:t>
      </w:r>
      <w:r w:rsidR="00EE4B53" w:rsidRPr="00FF74EB">
        <w:rPr>
          <w:rFonts w:ascii="Times New Roman" w:hAnsi="Times New Roman" w:cs="Times New Roman"/>
          <w:sz w:val="20"/>
          <w:szCs w:val="20"/>
        </w:rPr>
        <w:t xml:space="preserve"> </w:t>
      </w:r>
      <w:r w:rsidRPr="00FF74EB">
        <w:rPr>
          <w:rFonts w:ascii="Times New Roman" w:hAnsi="Times New Roman" w:cs="Times New Roman"/>
          <w:sz w:val="20"/>
          <w:szCs w:val="20"/>
        </w:rPr>
        <w:t xml:space="preserve">У табл. </w:t>
      </w:r>
      <w:r w:rsidR="00D21417" w:rsidRPr="00FF74EB">
        <w:rPr>
          <w:rFonts w:ascii="Times New Roman" w:hAnsi="Times New Roman" w:cs="Times New Roman"/>
          <w:sz w:val="20"/>
          <w:szCs w:val="20"/>
        </w:rPr>
        <w:t>8.</w:t>
      </w:r>
      <w:r w:rsidR="00A6446B" w:rsidRPr="00FF74EB">
        <w:rPr>
          <w:rFonts w:ascii="Times New Roman" w:hAnsi="Times New Roman" w:cs="Times New Roman"/>
          <w:sz w:val="20"/>
          <w:szCs w:val="20"/>
        </w:rPr>
        <w:t>3</w:t>
      </w:r>
      <w:r w:rsidRPr="00FF74EB">
        <w:rPr>
          <w:rFonts w:ascii="Times New Roman" w:hAnsi="Times New Roman" w:cs="Times New Roman"/>
          <w:sz w:val="20"/>
          <w:szCs w:val="20"/>
        </w:rPr>
        <w:t>. наведена система індикаторів «зеленого» зростання для України.</w:t>
      </w:r>
    </w:p>
    <w:p w14:paraId="33FD549A" w14:textId="77777777" w:rsidR="00EE4B53" w:rsidRPr="00FF74EB" w:rsidRDefault="00EE4B53" w:rsidP="00EE4B53">
      <w:pPr>
        <w:adjustRightInd w:val="0"/>
        <w:snapToGrid w:val="0"/>
        <w:spacing w:after="0" w:line="240" w:lineRule="auto"/>
        <w:ind w:firstLine="567"/>
        <w:jc w:val="both"/>
        <w:rPr>
          <w:rFonts w:ascii="Times New Roman" w:hAnsi="Times New Roman" w:cs="Times New Roman"/>
          <w:sz w:val="20"/>
          <w:szCs w:val="20"/>
        </w:rPr>
      </w:pPr>
      <w:r w:rsidRPr="00FF74EB">
        <w:rPr>
          <w:rFonts w:ascii="Times New Roman" w:hAnsi="Times New Roman" w:cs="Times New Roman"/>
          <w:sz w:val="20"/>
          <w:szCs w:val="20"/>
        </w:rPr>
        <w:t>У тих випадках, коли для України не проводяться розрахунки, для таких індикаторів використано аналоги інформації, що готується Державною службою статистики України, включно з методологією розрахунку відповідних показників.</w:t>
      </w:r>
    </w:p>
    <w:p w14:paraId="18A35431" w14:textId="2F92DA75" w:rsidR="00EE4B53" w:rsidRPr="00FF74EB" w:rsidRDefault="00EE4B53" w:rsidP="00EE4B53">
      <w:pPr>
        <w:adjustRightInd w:val="0"/>
        <w:snapToGrid w:val="0"/>
        <w:spacing w:after="0" w:line="240" w:lineRule="auto"/>
        <w:ind w:firstLine="567"/>
        <w:jc w:val="both"/>
        <w:rPr>
          <w:rFonts w:ascii="Times New Roman" w:hAnsi="Times New Roman" w:cs="Times New Roman"/>
          <w:sz w:val="20"/>
          <w:szCs w:val="20"/>
        </w:rPr>
      </w:pPr>
      <w:r w:rsidRPr="00FF74EB">
        <w:rPr>
          <w:rFonts w:ascii="Times New Roman" w:hAnsi="Times New Roman" w:cs="Times New Roman"/>
          <w:b/>
          <w:sz w:val="20"/>
          <w:szCs w:val="20"/>
        </w:rPr>
        <w:t xml:space="preserve">оцінювання відповідності конкретних показників потребам національної економіки. </w:t>
      </w:r>
      <w:r w:rsidRPr="00FF74EB">
        <w:rPr>
          <w:rFonts w:ascii="Times New Roman" w:hAnsi="Times New Roman" w:cs="Times New Roman"/>
          <w:sz w:val="20"/>
          <w:szCs w:val="20"/>
        </w:rPr>
        <w:t>Вважається, що використання індикаторів при попередній експертизі будь-якого проекту або закону дозволяє зменшити ймовірність корупційних схем, насамперед, з лобіювання проектів, що не відповідають вимогам сталого розвитку та «зеленої» економіки.</w:t>
      </w:r>
    </w:p>
    <w:p w14:paraId="4CE190C6" w14:textId="62FA451F" w:rsidR="00EE4B53" w:rsidRPr="00FF74EB" w:rsidRDefault="00EE4B53" w:rsidP="00EE4B53">
      <w:pPr>
        <w:adjustRightInd w:val="0"/>
        <w:snapToGrid w:val="0"/>
        <w:spacing w:after="0" w:line="240" w:lineRule="auto"/>
        <w:ind w:firstLine="567"/>
        <w:jc w:val="both"/>
        <w:rPr>
          <w:rFonts w:ascii="Times New Roman" w:hAnsi="Times New Roman" w:cs="Times New Roman"/>
          <w:sz w:val="20"/>
          <w:szCs w:val="20"/>
        </w:rPr>
      </w:pPr>
      <w:r w:rsidRPr="00FF74EB">
        <w:rPr>
          <w:rFonts w:ascii="Times New Roman" w:hAnsi="Times New Roman" w:cs="Times New Roman"/>
          <w:b/>
          <w:sz w:val="20"/>
          <w:szCs w:val="20"/>
        </w:rPr>
        <w:t xml:space="preserve">Метою запровадження системи індикаторів «зеленого» розвитку </w:t>
      </w:r>
      <w:r w:rsidRPr="00FF74EB">
        <w:rPr>
          <w:rFonts w:ascii="Times New Roman" w:hAnsi="Times New Roman" w:cs="Times New Roman"/>
          <w:sz w:val="20"/>
          <w:szCs w:val="20"/>
        </w:rPr>
        <w:t>є озброєння національної управлінської практики інструментарієм щодо визначення результативності реформ у контексті «зеленого» зростання.</w:t>
      </w:r>
    </w:p>
    <w:p w14:paraId="047BE5E2" w14:textId="77777777" w:rsidR="00EE4B53" w:rsidRPr="00FF74EB" w:rsidRDefault="00EE4B53" w:rsidP="00EE4B53">
      <w:pPr>
        <w:adjustRightInd w:val="0"/>
        <w:snapToGrid w:val="0"/>
        <w:spacing w:after="0" w:line="240" w:lineRule="auto"/>
        <w:ind w:firstLine="567"/>
        <w:jc w:val="both"/>
        <w:rPr>
          <w:rFonts w:ascii="Times New Roman" w:hAnsi="Times New Roman" w:cs="Times New Roman"/>
          <w:b/>
          <w:bCs/>
          <w:sz w:val="20"/>
          <w:szCs w:val="20"/>
        </w:rPr>
      </w:pPr>
      <w:r w:rsidRPr="00FF74EB">
        <w:rPr>
          <w:rFonts w:ascii="Times New Roman" w:hAnsi="Times New Roman" w:cs="Times New Roman"/>
          <w:b/>
          <w:bCs/>
          <w:sz w:val="20"/>
          <w:szCs w:val="20"/>
        </w:rPr>
        <w:t>завдання:</w:t>
      </w:r>
    </w:p>
    <w:p w14:paraId="202EBC6F" w14:textId="363AA588" w:rsidR="00EE4B53" w:rsidRPr="00FF74EB" w:rsidRDefault="00EE4B53" w:rsidP="00EE4B53">
      <w:pPr>
        <w:numPr>
          <w:ilvl w:val="0"/>
          <w:numId w:val="17"/>
        </w:numPr>
        <w:adjustRightInd w:val="0"/>
        <w:snapToGrid w:val="0"/>
        <w:spacing w:after="0" w:line="240" w:lineRule="auto"/>
        <w:ind w:left="0" w:firstLine="567"/>
        <w:jc w:val="both"/>
        <w:rPr>
          <w:rFonts w:ascii="Times New Roman" w:hAnsi="Times New Roman" w:cs="Times New Roman"/>
          <w:sz w:val="20"/>
          <w:szCs w:val="20"/>
        </w:rPr>
      </w:pPr>
      <w:r w:rsidRPr="00FF74EB">
        <w:rPr>
          <w:rFonts w:ascii="Times New Roman" w:hAnsi="Times New Roman" w:cs="Times New Roman"/>
          <w:sz w:val="20"/>
          <w:szCs w:val="20"/>
        </w:rPr>
        <w:t>дослідити досвід міжнародних організацій, окремих країн, вітчизняну практику та наукові розробки щодо формування системи індикаторів сталого та «зеленого» розвитку, що дають змогу</w:t>
      </w:r>
    </w:p>
    <w:p w14:paraId="3BFFC40B" w14:textId="77777777" w:rsidR="00EE4B53" w:rsidRPr="00FF74EB" w:rsidRDefault="00EE4B53" w:rsidP="00EE4B53">
      <w:pPr>
        <w:adjustRightInd w:val="0"/>
        <w:snapToGrid w:val="0"/>
        <w:spacing w:after="0" w:line="240" w:lineRule="auto"/>
        <w:ind w:firstLine="567"/>
        <w:jc w:val="both"/>
        <w:rPr>
          <w:rFonts w:ascii="Times New Roman" w:hAnsi="Times New Roman" w:cs="Times New Roman"/>
          <w:sz w:val="20"/>
          <w:szCs w:val="20"/>
        </w:rPr>
      </w:pPr>
      <w:r w:rsidRPr="00FF74EB">
        <w:rPr>
          <w:rFonts w:ascii="Times New Roman" w:hAnsi="Times New Roman" w:cs="Times New Roman"/>
          <w:sz w:val="20"/>
          <w:szCs w:val="20"/>
        </w:rPr>
        <w:t>оцінювати ступінь досягнення цілей на шляху до узгодженого економічного, соціального та екологічного розвитку;</w:t>
      </w:r>
    </w:p>
    <w:p w14:paraId="5E10AC0B" w14:textId="02ED2222" w:rsidR="00EE4B53" w:rsidRPr="00FF74EB" w:rsidRDefault="00EE4B53" w:rsidP="00EE4B53">
      <w:pPr>
        <w:numPr>
          <w:ilvl w:val="0"/>
          <w:numId w:val="17"/>
        </w:numPr>
        <w:adjustRightInd w:val="0"/>
        <w:snapToGrid w:val="0"/>
        <w:spacing w:after="0" w:line="240" w:lineRule="auto"/>
        <w:ind w:left="0" w:firstLine="567"/>
        <w:jc w:val="both"/>
        <w:rPr>
          <w:rFonts w:ascii="Times New Roman" w:hAnsi="Times New Roman" w:cs="Times New Roman"/>
          <w:sz w:val="20"/>
          <w:szCs w:val="20"/>
        </w:rPr>
      </w:pPr>
      <w:r w:rsidRPr="00FF74EB">
        <w:rPr>
          <w:rFonts w:ascii="Times New Roman" w:hAnsi="Times New Roman" w:cs="Times New Roman"/>
          <w:sz w:val="20"/>
          <w:szCs w:val="20"/>
        </w:rPr>
        <w:t>оцінити відповідності конкретних показників «зеленої» економіки національним потребам;</w:t>
      </w:r>
    </w:p>
    <w:p w14:paraId="40A4F7DD" w14:textId="2EEB72BD" w:rsidR="00EE4B53" w:rsidRPr="00FF74EB" w:rsidRDefault="00EE4B53" w:rsidP="00EE4B53">
      <w:pPr>
        <w:numPr>
          <w:ilvl w:val="0"/>
          <w:numId w:val="17"/>
        </w:numPr>
        <w:adjustRightInd w:val="0"/>
        <w:snapToGrid w:val="0"/>
        <w:spacing w:after="0" w:line="240" w:lineRule="auto"/>
        <w:ind w:left="0" w:firstLine="567"/>
        <w:jc w:val="both"/>
        <w:rPr>
          <w:rFonts w:ascii="Times New Roman" w:hAnsi="Times New Roman" w:cs="Times New Roman"/>
          <w:sz w:val="20"/>
          <w:szCs w:val="20"/>
        </w:rPr>
      </w:pPr>
      <w:r w:rsidRPr="00FF74EB">
        <w:rPr>
          <w:rFonts w:ascii="Times New Roman" w:hAnsi="Times New Roman" w:cs="Times New Roman"/>
          <w:sz w:val="20"/>
          <w:szCs w:val="20"/>
        </w:rPr>
        <w:t>конкретизувати</w:t>
      </w:r>
      <w:r w:rsidR="009C2BC3" w:rsidRPr="00FF74EB">
        <w:rPr>
          <w:rFonts w:ascii="Times New Roman" w:hAnsi="Times New Roman" w:cs="Times New Roman"/>
          <w:sz w:val="20"/>
          <w:szCs w:val="20"/>
        </w:rPr>
        <w:t xml:space="preserve"> </w:t>
      </w:r>
      <w:r w:rsidRPr="00FF74EB">
        <w:rPr>
          <w:rFonts w:ascii="Times New Roman" w:hAnsi="Times New Roman" w:cs="Times New Roman"/>
          <w:sz w:val="20"/>
          <w:szCs w:val="20"/>
        </w:rPr>
        <w:t>можливості вітчизняної практики щодо розвитку національної системи еколого-економічного обліку.</w:t>
      </w:r>
    </w:p>
    <w:p w14:paraId="1A68D212" w14:textId="77777777" w:rsidR="00781FB5" w:rsidRPr="00781FB5" w:rsidRDefault="00781FB5" w:rsidP="0012192B">
      <w:pPr>
        <w:adjustRightInd w:val="0"/>
        <w:snapToGrid w:val="0"/>
        <w:spacing w:after="0" w:line="240" w:lineRule="auto"/>
        <w:ind w:firstLine="567"/>
        <w:jc w:val="both"/>
        <w:rPr>
          <w:rFonts w:ascii="Times New Roman" w:hAnsi="Times New Roman" w:cs="Times New Roman"/>
          <w:sz w:val="16"/>
          <w:szCs w:val="16"/>
        </w:rPr>
      </w:pPr>
    </w:p>
    <w:p w14:paraId="424FAA2C" w14:textId="061DC2D7" w:rsidR="00781FB5" w:rsidRPr="00D21417" w:rsidRDefault="00781FB5" w:rsidP="00943D70">
      <w:pPr>
        <w:adjustRightInd w:val="0"/>
        <w:snapToGrid w:val="0"/>
        <w:spacing w:after="0" w:line="240" w:lineRule="auto"/>
        <w:ind w:firstLine="567"/>
        <w:jc w:val="right"/>
        <w:rPr>
          <w:rFonts w:ascii="Times New Roman" w:hAnsi="Times New Roman" w:cs="Times New Roman"/>
          <w:sz w:val="20"/>
          <w:szCs w:val="20"/>
        </w:rPr>
      </w:pPr>
      <w:r w:rsidRPr="00D21417">
        <w:rPr>
          <w:rFonts w:ascii="Times New Roman" w:hAnsi="Times New Roman" w:cs="Times New Roman"/>
          <w:sz w:val="20"/>
          <w:szCs w:val="20"/>
        </w:rPr>
        <w:t>Таблиця 8.</w:t>
      </w:r>
      <w:r w:rsidR="00D21417">
        <w:rPr>
          <w:rFonts w:ascii="Times New Roman" w:hAnsi="Times New Roman" w:cs="Times New Roman"/>
          <w:sz w:val="20"/>
          <w:szCs w:val="20"/>
        </w:rPr>
        <w:t>3</w:t>
      </w:r>
    </w:p>
    <w:p w14:paraId="05402537" w14:textId="36D1D60E" w:rsidR="00781FB5" w:rsidRPr="00D21417" w:rsidRDefault="00EA2F2F" w:rsidP="0012192B">
      <w:pPr>
        <w:adjustRightInd w:val="0"/>
        <w:snapToGrid w:val="0"/>
        <w:spacing w:after="0" w:line="240" w:lineRule="auto"/>
        <w:ind w:firstLine="567"/>
        <w:jc w:val="both"/>
        <w:rPr>
          <w:rFonts w:ascii="Times New Roman" w:hAnsi="Times New Roman" w:cs="Times New Roman"/>
          <w:sz w:val="20"/>
          <w:szCs w:val="20"/>
        </w:rPr>
      </w:pPr>
      <w:r w:rsidRPr="00D21417">
        <w:rPr>
          <w:rFonts w:ascii="Times New Roman" w:hAnsi="Times New Roman" w:cs="Times New Roman"/>
          <w:sz w:val="20"/>
          <w:szCs w:val="20"/>
        </w:rPr>
        <w:t>К</w:t>
      </w:r>
      <w:r w:rsidR="00781FB5" w:rsidRPr="00D21417">
        <w:rPr>
          <w:rFonts w:ascii="Times New Roman" w:hAnsi="Times New Roman" w:cs="Times New Roman"/>
          <w:sz w:val="20"/>
          <w:szCs w:val="20"/>
        </w:rPr>
        <w:t>ороткий перелік індикаторів «зеленого» зростання для України</w:t>
      </w:r>
    </w:p>
    <w:tbl>
      <w:tblPr>
        <w:tblW w:w="5000" w:type="pct"/>
        <w:tblBorders>
          <w:top w:val="single" w:sz="18" w:space="0" w:color="007B3A"/>
          <w:left w:val="single" w:sz="18" w:space="0" w:color="007B3A"/>
          <w:bottom w:val="single" w:sz="18" w:space="0" w:color="007B3A"/>
          <w:right w:val="single" w:sz="18" w:space="0" w:color="007B3A"/>
          <w:insideH w:val="single" w:sz="18" w:space="0" w:color="007B3A"/>
          <w:insideV w:val="single" w:sz="18" w:space="0" w:color="007B3A"/>
        </w:tblBorders>
        <w:tblCellMar>
          <w:left w:w="0" w:type="dxa"/>
          <w:right w:w="0" w:type="dxa"/>
        </w:tblCellMar>
        <w:tblLook w:val="01E0" w:firstRow="1" w:lastRow="1" w:firstColumn="1" w:lastColumn="1" w:noHBand="0" w:noVBand="0"/>
      </w:tblPr>
      <w:tblGrid>
        <w:gridCol w:w="2199"/>
        <w:gridCol w:w="4444"/>
      </w:tblGrid>
      <w:tr w:rsidR="00781FB5" w:rsidRPr="00781FB5" w14:paraId="254A5BDD" w14:textId="77777777" w:rsidTr="00E21F18">
        <w:trPr>
          <w:trHeight w:val="347"/>
        </w:trPr>
        <w:tc>
          <w:tcPr>
            <w:tcW w:w="5000" w:type="pct"/>
            <w:gridSpan w:val="2"/>
            <w:tcBorders>
              <w:bottom w:val="single" w:sz="4" w:space="0" w:color="000000"/>
            </w:tcBorders>
            <w:shd w:val="clear" w:color="auto" w:fill="007B3A"/>
          </w:tcPr>
          <w:p w14:paraId="08E0708C"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Індикатори екологічної та ресурсної продуктивності</w:t>
            </w:r>
          </w:p>
        </w:tc>
      </w:tr>
      <w:tr w:rsidR="00781FB5" w:rsidRPr="00781FB5" w14:paraId="290429BC" w14:textId="77777777" w:rsidTr="00E21F18">
        <w:trPr>
          <w:trHeight w:val="911"/>
        </w:trPr>
        <w:tc>
          <w:tcPr>
            <w:tcW w:w="1655" w:type="pct"/>
            <w:vMerge w:val="restart"/>
            <w:tcBorders>
              <w:top w:val="single" w:sz="4" w:space="0" w:color="000000"/>
              <w:bottom w:val="single" w:sz="4" w:space="0" w:color="000000"/>
              <w:right w:val="single" w:sz="4" w:space="0" w:color="000000"/>
            </w:tcBorders>
          </w:tcPr>
          <w:p w14:paraId="30B2FF2F"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Вуглецева продуктивність ВВП, дол. / тонн CO</w:t>
            </w:r>
            <w:r w:rsidRPr="00781FB5">
              <w:rPr>
                <w:rFonts w:ascii="Times New Roman" w:hAnsi="Times New Roman" w:cs="Times New Roman"/>
                <w:sz w:val="16"/>
                <w:szCs w:val="16"/>
                <w:vertAlign w:val="subscript"/>
              </w:rPr>
              <w:t>2</w:t>
            </w:r>
            <w:r w:rsidRPr="00781FB5">
              <w:rPr>
                <w:rFonts w:ascii="Times New Roman" w:hAnsi="Times New Roman" w:cs="Times New Roman"/>
                <w:sz w:val="16"/>
                <w:szCs w:val="16"/>
              </w:rPr>
              <w:t>: ВВП на одиницю згенерованих енергетикою викидів CO</w:t>
            </w:r>
            <w:r w:rsidRPr="00781FB5">
              <w:rPr>
                <w:rFonts w:ascii="Times New Roman" w:hAnsi="Times New Roman" w:cs="Times New Roman"/>
                <w:sz w:val="16"/>
                <w:szCs w:val="16"/>
                <w:vertAlign w:val="subscript"/>
              </w:rPr>
              <w:t>2</w:t>
            </w:r>
            <w:r w:rsidRPr="00781FB5">
              <w:rPr>
                <w:rFonts w:ascii="Times New Roman" w:hAnsi="Times New Roman" w:cs="Times New Roman"/>
                <w:sz w:val="16"/>
                <w:szCs w:val="16"/>
              </w:rPr>
              <w:t xml:space="preserve"> (ВВП </w:t>
            </w:r>
            <w:r w:rsidRPr="00781FB5">
              <w:rPr>
                <w:rFonts w:ascii="Times New Roman" w:hAnsi="Times New Roman" w:cs="Times New Roman"/>
                <w:sz w:val="16"/>
                <w:szCs w:val="16"/>
              </w:rPr>
              <w:lastRenderedPageBreak/>
              <w:t>у постійних цінах 2010 р. за ПКС у дол. США</w:t>
            </w:r>
          </w:p>
        </w:tc>
        <w:tc>
          <w:tcPr>
            <w:tcW w:w="3345" w:type="pct"/>
            <w:tcBorders>
              <w:top w:val="single" w:sz="4" w:space="0" w:color="000000"/>
              <w:left w:val="single" w:sz="4" w:space="0" w:color="000000"/>
              <w:bottom w:val="single" w:sz="4" w:space="0" w:color="000000"/>
            </w:tcBorders>
          </w:tcPr>
          <w:p w14:paraId="5DF47601" w14:textId="5295F61A"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lastRenderedPageBreak/>
              <w:t>Вуглецева продуктивність ВВП, грн /т CO</w:t>
            </w:r>
            <w:r w:rsidRPr="00781FB5">
              <w:rPr>
                <w:rFonts w:ascii="Times New Roman" w:hAnsi="Times New Roman" w:cs="Times New Roman"/>
                <w:sz w:val="16"/>
                <w:szCs w:val="16"/>
                <w:vertAlign w:val="subscript"/>
              </w:rPr>
              <w:t>2</w:t>
            </w:r>
            <w:r w:rsidRPr="00781FB5">
              <w:rPr>
                <w:rFonts w:ascii="Times New Roman" w:hAnsi="Times New Roman" w:cs="Times New Roman"/>
                <w:sz w:val="16"/>
                <w:szCs w:val="16"/>
              </w:rPr>
              <w:t>: ВВП на одиницю викидів CO</w:t>
            </w:r>
            <w:r w:rsidRPr="00781FB5">
              <w:rPr>
                <w:rFonts w:ascii="Times New Roman" w:hAnsi="Times New Roman" w:cs="Times New Roman"/>
                <w:sz w:val="16"/>
                <w:szCs w:val="16"/>
                <w:vertAlign w:val="subscript"/>
              </w:rPr>
              <w:t>2</w:t>
            </w:r>
            <w:r w:rsidRPr="00781FB5">
              <w:rPr>
                <w:rFonts w:ascii="Times New Roman" w:hAnsi="Times New Roman" w:cs="Times New Roman"/>
                <w:sz w:val="16"/>
                <w:szCs w:val="16"/>
              </w:rPr>
              <w:t xml:space="preserve"> від спалювання палива</w:t>
            </w:r>
          </w:p>
          <w:p w14:paraId="065FEC98"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ВВП у постійних цінах 2010 р., грн / т CO</w:t>
            </w:r>
            <w:r w:rsidRPr="00781FB5">
              <w:rPr>
                <w:rFonts w:ascii="Times New Roman" w:hAnsi="Times New Roman" w:cs="Times New Roman"/>
                <w:sz w:val="16"/>
                <w:szCs w:val="16"/>
                <w:vertAlign w:val="subscript"/>
              </w:rPr>
              <w:t>2</w:t>
            </w:r>
            <w:r w:rsidRPr="00781FB5">
              <w:rPr>
                <w:rFonts w:ascii="Times New Roman" w:hAnsi="Times New Roman" w:cs="Times New Roman"/>
                <w:sz w:val="16"/>
                <w:szCs w:val="16"/>
              </w:rPr>
              <w:t xml:space="preserve"> та за ПКС дол. /т CO</w:t>
            </w:r>
            <w:r w:rsidRPr="00781FB5">
              <w:rPr>
                <w:rFonts w:ascii="Times New Roman" w:hAnsi="Times New Roman" w:cs="Times New Roman"/>
                <w:sz w:val="16"/>
                <w:szCs w:val="16"/>
                <w:vertAlign w:val="subscript"/>
              </w:rPr>
              <w:t>2</w:t>
            </w:r>
          </w:p>
        </w:tc>
      </w:tr>
      <w:tr w:rsidR="00781FB5" w:rsidRPr="00781FB5" w14:paraId="20212A00" w14:textId="77777777" w:rsidTr="00E21F18">
        <w:trPr>
          <w:trHeight w:val="471"/>
        </w:trPr>
        <w:tc>
          <w:tcPr>
            <w:tcW w:w="1655" w:type="pct"/>
            <w:vMerge/>
            <w:tcBorders>
              <w:top w:val="nil"/>
              <w:bottom w:val="single" w:sz="4" w:space="0" w:color="000000"/>
              <w:right w:val="single" w:sz="4" w:space="0" w:color="000000"/>
            </w:tcBorders>
          </w:tcPr>
          <w:p w14:paraId="1FC1D2B6"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top w:val="single" w:sz="4" w:space="0" w:color="000000"/>
              <w:left w:val="single" w:sz="4" w:space="0" w:color="000000"/>
              <w:bottom w:val="single" w:sz="4" w:space="0" w:color="000000"/>
            </w:tcBorders>
          </w:tcPr>
          <w:p w14:paraId="69BD598B"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Індекс зміни вуглецевої продуктивності ВВП, % до 1990 р. та 2000 р.</w:t>
            </w:r>
          </w:p>
        </w:tc>
      </w:tr>
      <w:tr w:rsidR="00781FB5" w:rsidRPr="00781FB5" w14:paraId="2F2124E9" w14:textId="77777777" w:rsidTr="00E21F18">
        <w:trPr>
          <w:trHeight w:val="251"/>
        </w:trPr>
        <w:tc>
          <w:tcPr>
            <w:tcW w:w="1655" w:type="pct"/>
            <w:vMerge/>
            <w:tcBorders>
              <w:top w:val="nil"/>
              <w:bottom w:val="single" w:sz="4" w:space="0" w:color="000000"/>
              <w:right w:val="single" w:sz="4" w:space="0" w:color="000000"/>
            </w:tcBorders>
          </w:tcPr>
          <w:p w14:paraId="3355092F"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top w:val="single" w:sz="4" w:space="0" w:color="000000"/>
              <w:left w:val="single" w:sz="4" w:space="0" w:color="000000"/>
              <w:bottom w:val="single" w:sz="4" w:space="0" w:color="000000"/>
            </w:tcBorders>
          </w:tcPr>
          <w:p w14:paraId="604E18FA"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Індекс зміни обсягів викидів CO</w:t>
            </w:r>
            <w:r w:rsidRPr="00781FB5">
              <w:rPr>
                <w:rFonts w:ascii="Times New Roman" w:hAnsi="Times New Roman" w:cs="Times New Roman"/>
                <w:sz w:val="16"/>
                <w:szCs w:val="16"/>
                <w:vertAlign w:val="subscript"/>
              </w:rPr>
              <w:t>2</w:t>
            </w:r>
            <w:r w:rsidRPr="00781FB5">
              <w:rPr>
                <w:rFonts w:ascii="Times New Roman" w:hAnsi="Times New Roman" w:cs="Times New Roman"/>
                <w:sz w:val="16"/>
                <w:szCs w:val="16"/>
              </w:rPr>
              <w:t>, % до 1990 та 2000 рр.</w:t>
            </w:r>
          </w:p>
        </w:tc>
      </w:tr>
      <w:tr w:rsidR="00781FB5" w:rsidRPr="00781FB5" w14:paraId="4BAF387E" w14:textId="77777777" w:rsidTr="00E21F18">
        <w:trPr>
          <w:trHeight w:val="1131"/>
        </w:trPr>
        <w:tc>
          <w:tcPr>
            <w:tcW w:w="1655" w:type="pct"/>
            <w:vMerge w:val="restart"/>
            <w:tcBorders>
              <w:top w:val="single" w:sz="4" w:space="0" w:color="000000"/>
              <w:bottom w:val="single" w:sz="4" w:space="0" w:color="000000"/>
              <w:right w:val="single" w:sz="4" w:space="0" w:color="000000"/>
            </w:tcBorders>
          </w:tcPr>
          <w:p w14:paraId="2591BC50" w14:textId="77777777" w:rsidR="00781FB5" w:rsidRPr="00781FB5" w:rsidRDefault="00781FB5" w:rsidP="00D21417">
            <w:pPr>
              <w:adjustRightInd w:val="0"/>
              <w:snapToGrid w:val="0"/>
              <w:spacing w:after="0" w:line="240" w:lineRule="auto"/>
              <w:jc w:val="both"/>
              <w:rPr>
                <w:rFonts w:ascii="Times New Roman" w:hAnsi="Times New Roman" w:cs="Times New Roman"/>
                <w:b/>
                <w:sz w:val="16"/>
                <w:szCs w:val="16"/>
              </w:rPr>
            </w:pPr>
          </w:p>
          <w:p w14:paraId="62F20F58"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Енергетична продуктивність ВВП: ВВП на одиницю спожитої енергії,</w:t>
            </w:r>
          </w:p>
          <w:p w14:paraId="7B438B57"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дол. /1000 тонн нафтового еквіваленту (тне)</w:t>
            </w:r>
          </w:p>
          <w:p w14:paraId="694589C8"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(ВВП за ПКС у дол. США в постійних цінах 2010 р.)</w:t>
            </w:r>
          </w:p>
        </w:tc>
        <w:tc>
          <w:tcPr>
            <w:tcW w:w="3345" w:type="pct"/>
            <w:tcBorders>
              <w:top w:val="single" w:sz="4" w:space="0" w:color="000000"/>
              <w:left w:val="single" w:sz="4" w:space="0" w:color="000000"/>
              <w:bottom w:val="single" w:sz="4" w:space="0" w:color="000000"/>
            </w:tcBorders>
          </w:tcPr>
          <w:p w14:paraId="2BC39D31"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Обсяги викидів CO</w:t>
            </w:r>
            <w:r w:rsidRPr="00781FB5">
              <w:rPr>
                <w:rFonts w:ascii="Times New Roman" w:hAnsi="Times New Roman" w:cs="Times New Roman"/>
                <w:sz w:val="16"/>
                <w:szCs w:val="16"/>
                <w:vertAlign w:val="subscript"/>
              </w:rPr>
              <w:t>2</w:t>
            </w:r>
            <w:r w:rsidRPr="00781FB5">
              <w:rPr>
                <w:rFonts w:ascii="Times New Roman" w:hAnsi="Times New Roman" w:cs="Times New Roman"/>
                <w:sz w:val="16"/>
                <w:szCs w:val="16"/>
              </w:rPr>
              <w:t xml:space="preserve"> на душу населення, тонн</w:t>
            </w:r>
          </w:p>
          <w:p w14:paraId="0A722AFC" w14:textId="5E0F1C75"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Енергетична продуктивність ВВП: ВВП на одиницю спожитої енергії, грн / кг нафтового еквіваленту (кгне)</w:t>
            </w:r>
          </w:p>
          <w:p w14:paraId="58E7B247"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ВВП у постійних цінах 2010 р. за ПКС у грн (базовий рік 2010)</w:t>
            </w:r>
          </w:p>
        </w:tc>
      </w:tr>
      <w:tr w:rsidR="00781FB5" w:rsidRPr="00781FB5" w14:paraId="50280F63" w14:textId="77777777" w:rsidTr="00E21F18">
        <w:trPr>
          <w:trHeight w:val="471"/>
        </w:trPr>
        <w:tc>
          <w:tcPr>
            <w:tcW w:w="1655" w:type="pct"/>
            <w:vMerge/>
            <w:tcBorders>
              <w:top w:val="nil"/>
              <w:bottom w:val="single" w:sz="4" w:space="0" w:color="000000"/>
              <w:right w:val="single" w:sz="4" w:space="0" w:color="000000"/>
            </w:tcBorders>
          </w:tcPr>
          <w:p w14:paraId="1C17066D"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top w:val="single" w:sz="4" w:space="0" w:color="000000"/>
              <w:left w:val="single" w:sz="4" w:space="0" w:color="000000"/>
              <w:bottom w:val="single" w:sz="4" w:space="0" w:color="000000"/>
            </w:tcBorders>
          </w:tcPr>
          <w:p w14:paraId="3A5E5678"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Індекс зміни енергетичної продуктивності ВВП, % до 1990 р. та 2000 р.</w:t>
            </w:r>
          </w:p>
        </w:tc>
      </w:tr>
      <w:tr w:rsidR="00781FB5" w:rsidRPr="00781FB5" w14:paraId="3C8869D2" w14:textId="77777777" w:rsidTr="00E21F18">
        <w:trPr>
          <w:trHeight w:val="471"/>
        </w:trPr>
        <w:tc>
          <w:tcPr>
            <w:tcW w:w="1655" w:type="pct"/>
            <w:vMerge/>
            <w:tcBorders>
              <w:top w:val="nil"/>
              <w:bottom w:val="single" w:sz="4" w:space="0" w:color="000000"/>
              <w:right w:val="single" w:sz="4" w:space="0" w:color="000000"/>
            </w:tcBorders>
          </w:tcPr>
          <w:p w14:paraId="2BE321FB"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top w:val="single" w:sz="4" w:space="0" w:color="000000"/>
              <w:left w:val="single" w:sz="4" w:space="0" w:color="000000"/>
              <w:bottom w:val="single" w:sz="4" w:space="0" w:color="000000"/>
            </w:tcBorders>
          </w:tcPr>
          <w:p w14:paraId="439B6BEE"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Індекс зміни обсягів споживання енергії, % до 1990 р. и 2000 р.</w:t>
            </w:r>
          </w:p>
        </w:tc>
      </w:tr>
      <w:tr w:rsidR="00781FB5" w:rsidRPr="00781FB5" w14:paraId="25D195BF" w14:textId="77777777" w:rsidTr="00E21F18">
        <w:trPr>
          <w:trHeight w:val="251"/>
        </w:trPr>
        <w:tc>
          <w:tcPr>
            <w:tcW w:w="1655" w:type="pct"/>
            <w:vMerge/>
            <w:tcBorders>
              <w:top w:val="nil"/>
              <w:bottom w:val="single" w:sz="4" w:space="0" w:color="000000"/>
              <w:right w:val="single" w:sz="4" w:space="0" w:color="000000"/>
            </w:tcBorders>
          </w:tcPr>
          <w:p w14:paraId="58506764"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top w:val="single" w:sz="4" w:space="0" w:color="000000"/>
              <w:left w:val="single" w:sz="4" w:space="0" w:color="000000"/>
              <w:bottom w:val="single" w:sz="4" w:space="0" w:color="000000"/>
            </w:tcBorders>
          </w:tcPr>
          <w:p w14:paraId="1F9B59D2"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Обсяг спожитої енергії на душу населення, тне.</w:t>
            </w:r>
          </w:p>
        </w:tc>
      </w:tr>
      <w:tr w:rsidR="00781FB5" w:rsidRPr="00781FB5" w14:paraId="2237B227" w14:textId="77777777" w:rsidTr="00E21F18">
        <w:trPr>
          <w:trHeight w:val="539"/>
        </w:trPr>
        <w:tc>
          <w:tcPr>
            <w:tcW w:w="1655" w:type="pct"/>
            <w:vMerge w:val="restart"/>
            <w:tcBorders>
              <w:top w:val="single" w:sz="4" w:space="0" w:color="000000"/>
              <w:bottom w:val="single" w:sz="4" w:space="0" w:color="000000"/>
              <w:right w:val="single" w:sz="4" w:space="0" w:color="000000"/>
            </w:tcBorders>
          </w:tcPr>
          <w:p w14:paraId="746A8CA9"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Матеріальна продуктивність ВВП (грн / кг; дол. /кг):</w:t>
            </w:r>
          </w:p>
          <w:p w14:paraId="36A32C27"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ВВП на одиницю спожитих неенергетичних матеріалів, дол. / кг</w:t>
            </w:r>
          </w:p>
          <w:p w14:paraId="2CE19847"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(ВВП за ПКС у дол. США в постійних цінах 2010 р.)</w:t>
            </w:r>
          </w:p>
        </w:tc>
        <w:tc>
          <w:tcPr>
            <w:tcW w:w="3345" w:type="pct"/>
            <w:tcBorders>
              <w:top w:val="single" w:sz="4" w:space="0" w:color="000000"/>
              <w:left w:val="single" w:sz="4" w:space="0" w:color="000000"/>
              <w:bottom w:val="single" w:sz="4" w:space="0" w:color="000000"/>
            </w:tcBorders>
          </w:tcPr>
          <w:p w14:paraId="659BB9E7"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Матеріальна продуктивність ВВП (грн /кг); (дол. / кг)</w:t>
            </w:r>
          </w:p>
        </w:tc>
      </w:tr>
      <w:tr w:rsidR="00781FB5" w:rsidRPr="00781FB5" w14:paraId="6997B9FC" w14:textId="77777777" w:rsidTr="00E21F18">
        <w:trPr>
          <w:trHeight w:val="539"/>
        </w:trPr>
        <w:tc>
          <w:tcPr>
            <w:tcW w:w="1655" w:type="pct"/>
            <w:vMerge/>
            <w:tcBorders>
              <w:top w:val="nil"/>
              <w:bottom w:val="single" w:sz="4" w:space="0" w:color="000000"/>
              <w:right w:val="single" w:sz="4" w:space="0" w:color="000000"/>
            </w:tcBorders>
          </w:tcPr>
          <w:p w14:paraId="4DBA56D6"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top w:val="single" w:sz="4" w:space="0" w:color="000000"/>
              <w:left w:val="single" w:sz="4" w:space="0" w:color="000000"/>
              <w:bottom w:val="single" w:sz="4" w:space="0" w:color="000000"/>
            </w:tcBorders>
          </w:tcPr>
          <w:p w14:paraId="00A23353"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Індекс зміни матеріальної продуктивності, % до 1990 р.</w:t>
            </w:r>
          </w:p>
        </w:tc>
      </w:tr>
      <w:tr w:rsidR="00781FB5" w:rsidRPr="00781FB5" w14:paraId="37F85E9A" w14:textId="77777777" w:rsidTr="00E21F18">
        <w:trPr>
          <w:trHeight w:val="472"/>
        </w:trPr>
        <w:tc>
          <w:tcPr>
            <w:tcW w:w="1655" w:type="pct"/>
            <w:vMerge/>
            <w:tcBorders>
              <w:top w:val="nil"/>
              <w:bottom w:val="single" w:sz="4" w:space="0" w:color="000000"/>
              <w:right w:val="single" w:sz="4" w:space="0" w:color="000000"/>
            </w:tcBorders>
          </w:tcPr>
          <w:p w14:paraId="7CC6F9A5"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top w:val="single" w:sz="4" w:space="0" w:color="000000"/>
              <w:left w:val="single" w:sz="4" w:space="0" w:color="000000"/>
              <w:bottom w:val="single" w:sz="4" w:space="0" w:color="000000"/>
            </w:tcBorders>
          </w:tcPr>
          <w:p w14:paraId="78643955" w14:textId="04C3AC9E"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Індекс зміни обсягів споживання неенергетичних матеріалів, % до 1990 р.</w:t>
            </w:r>
          </w:p>
        </w:tc>
      </w:tr>
      <w:tr w:rsidR="00781FB5" w:rsidRPr="00781FB5" w14:paraId="432F2447" w14:textId="77777777" w:rsidTr="00E21F18">
        <w:trPr>
          <w:trHeight w:val="251"/>
        </w:trPr>
        <w:tc>
          <w:tcPr>
            <w:tcW w:w="1655" w:type="pct"/>
            <w:vMerge w:val="restart"/>
            <w:tcBorders>
              <w:top w:val="single" w:sz="4" w:space="0" w:color="000000"/>
              <w:bottom w:val="single" w:sz="4" w:space="0" w:color="000000"/>
              <w:right w:val="single" w:sz="4" w:space="0" w:color="000000"/>
            </w:tcBorders>
          </w:tcPr>
          <w:p w14:paraId="4E520300" w14:textId="77777777" w:rsidR="00781FB5" w:rsidRPr="00781FB5" w:rsidRDefault="00781FB5" w:rsidP="00D21417">
            <w:pPr>
              <w:adjustRightInd w:val="0"/>
              <w:snapToGrid w:val="0"/>
              <w:spacing w:after="0" w:line="240" w:lineRule="auto"/>
              <w:jc w:val="both"/>
              <w:rPr>
                <w:rFonts w:ascii="Times New Roman" w:hAnsi="Times New Roman" w:cs="Times New Roman"/>
                <w:b/>
                <w:sz w:val="16"/>
                <w:szCs w:val="16"/>
              </w:rPr>
            </w:pPr>
          </w:p>
          <w:p w14:paraId="3B49F4A9" w14:textId="77777777" w:rsidR="00781FB5" w:rsidRPr="00781FB5" w:rsidRDefault="00781FB5" w:rsidP="00D21417">
            <w:pPr>
              <w:adjustRightInd w:val="0"/>
              <w:snapToGrid w:val="0"/>
              <w:spacing w:after="0" w:line="240" w:lineRule="auto"/>
              <w:jc w:val="both"/>
              <w:rPr>
                <w:rFonts w:ascii="Times New Roman" w:hAnsi="Times New Roman" w:cs="Times New Roman"/>
                <w:b/>
                <w:sz w:val="16"/>
                <w:szCs w:val="16"/>
              </w:rPr>
            </w:pPr>
          </w:p>
          <w:p w14:paraId="1F3BD32F" w14:textId="77777777" w:rsidR="00781FB5" w:rsidRPr="00781FB5" w:rsidRDefault="00781FB5" w:rsidP="00D21417">
            <w:pPr>
              <w:adjustRightInd w:val="0"/>
              <w:snapToGrid w:val="0"/>
              <w:spacing w:after="0" w:line="240" w:lineRule="auto"/>
              <w:jc w:val="both"/>
              <w:rPr>
                <w:rFonts w:ascii="Times New Roman" w:hAnsi="Times New Roman" w:cs="Times New Roman"/>
                <w:b/>
                <w:sz w:val="16"/>
                <w:szCs w:val="16"/>
              </w:rPr>
            </w:pPr>
          </w:p>
          <w:p w14:paraId="5521791B" w14:textId="77777777" w:rsidR="00781FB5" w:rsidRPr="00781FB5" w:rsidRDefault="00781FB5" w:rsidP="00D21417">
            <w:pPr>
              <w:adjustRightInd w:val="0"/>
              <w:snapToGrid w:val="0"/>
              <w:spacing w:after="0" w:line="240" w:lineRule="auto"/>
              <w:jc w:val="both"/>
              <w:rPr>
                <w:rFonts w:ascii="Times New Roman" w:hAnsi="Times New Roman" w:cs="Times New Roman"/>
                <w:b/>
                <w:sz w:val="16"/>
                <w:szCs w:val="16"/>
              </w:rPr>
            </w:pPr>
          </w:p>
          <w:p w14:paraId="002FE225"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Поводження з відходами</w:t>
            </w:r>
          </w:p>
        </w:tc>
        <w:tc>
          <w:tcPr>
            <w:tcW w:w="3345" w:type="pct"/>
            <w:tcBorders>
              <w:top w:val="single" w:sz="4" w:space="0" w:color="000000"/>
              <w:left w:val="single" w:sz="4" w:space="0" w:color="000000"/>
              <w:bottom w:val="single" w:sz="4" w:space="0" w:color="000000"/>
            </w:tcBorders>
          </w:tcPr>
          <w:p w14:paraId="4803570B"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Обсяги утворених відходів I-IV класів, тонн</w:t>
            </w:r>
          </w:p>
        </w:tc>
      </w:tr>
      <w:tr w:rsidR="00781FB5" w:rsidRPr="00781FB5" w14:paraId="6DD0D656" w14:textId="77777777" w:rsidTr="00E21F18">
        <w:trPr>
          <w:trHeight w:val="251"/>
        </w:trPr>
        <w:tc>
          <w:tcPr>
            <w:tcW w:w="1655" w:type="pct"/>
            <w:vMerge/>
            <w:tcBorders>
              <w:top w:val="nil"/>
              <w:bottom w:val="single" w:sz="4" w:space="0" w:color="000000"/>
              <w:right w:val="single" w:sz="4" w:space="0" w:color="000000"/>
            </w:tcBorders>
          </w:tcPr>
          <w:p w14:paraId="028F9382"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top w:val="single" w:sz="4" w:space="0" w:color="000000"/>
              <w:left w:val="single" w:sz="4" w:space="0" w:color="000000"/>
              <w:bottom w:val="single" w:sz="4" w:space="0" w:color="000000"/>
            </w:tcBorders>
          </w:tcPr>
          <w:p w14:paraId="591AA24A"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Обсяги утворених побутових і подібних відходів,тонн</w:t>
            </w:r>
          </w:p>
        </w:tc>
      </w:tr>
      <w:tr w:rsidR="00781FB5" w:rsidRPr="00781FB5" w14:paraId="4CE3B30C" w14:textId="77777777" w:rsidTr="00E21F18">
        <w:trPr>
          <w:trHeight w:val="691"/>
        </w:trPr>
        <w:tc>
          <w:tcPr>
            <w:tcW w:w="1655" w:type="pct"/>
            <w:vMerge/>
            <w:tcBorders>
              <w:top w:val="nil"/>
              <w:bottom w:val="single" w:sz="4" w:space="0" w:color="000000"/>
              <w:right w:val="single" w:sz="4" w:space="0" w:color="000000"/>
            </w:tcBorders>
          </w:tcPr>
          <w:p w14:paraId="7FBB8FD5"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top w:val="single" w:sz="4" w:space="0" w:color="000000"/>
              <w:left w:val="single" w:sz="4" w:space="0" w:color="000000"/>
              <w:bottom w:val="single" w:sz="4" w:space="0" w:color="000000"/>
            </w:tcBorders>
          </w:tcPr>
          <w:p w14:paraId="5989E27A"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Обсяги утворених побутових і подібних відходів, на душу населення, кг</w:t>
            </w:r>
          </w:p>
          <w:p w14:paraId="19C24527"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Індекс зміни відходів I-IV класів, 2010=100</w:t>
            </w:r>
          </w:p>
        </w:tc>
      </w:tr>
      <w:tr w:rsidR="00781FB5" w:rsidRPr="00781FB5" w14:paraId="5B20DF73" w14:textId="77777777" w:rsidTr="00E21F18">
        <w:trPr>
          <w:trHeight w:val="691"/>
        </w:trPr>
        <w:tc>
          <w:tcPr>
            <w:tcW w:w="1655" w:type="pct"/>
            <w:vMerge/>
            <w:tcBorders>
              <w:top w:val="nil"/>
              <w:bottom w:val="single" w:sz="4" w:space="0" w:color="000000"/>
              <w:right w:val="single" w:sz="4" w:space="0" w:color="000000"/>
            </w:tcBorders>
          </w:tcPr>
          <w:p w14:paraId="5658B0F2"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top w:val="single" w:sz="4" w:space="0" w:color="000000"/>
              <w:left w:val="single" w:sz="4" w:space="0" w:color="000000"/>
              <w:bottom w:val="single" w:sz="4" w:space="0" w:color="000000"/>
            </w:tcBorders>
          </w:tcPr>
          <w:p w14:paraId="238908BC" w14:textId="61C1E364"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Індекс зміни продуктивності ВВП за відходами I-IV класів, 2010=100. Індекс зміни обсягів утворених побутових і подібних відходів, 2010=100</w:t>
            </w:r>
          </w:p>
        </w:tc>
      </w:tr>
      <w:tr w:rsidR="00781FB5" w:rsidRPr="00781FB5" w14:paraId="3C48D28B" w14:textId="77777777" w:rsidTr="00E21F18">
        <w:trPr>
          <w:trHeight w:val="471"/>
        </w:trPr>
        <w:tc>
          <w:tcPr>
            <w:tcW w:w="1655" w:type="pct"/>
            <w:vMerge/>
            <w:tcBorders>
              <w:top w:val="nil"/>
              <w:bottom w:val="single" w:sz="4" w:space="0" w:color="000000"/>
              <w:right w:val="single" w:sz="4" w:space="0" w:color="000000"/>
            </w:tcBorders>
          </w:tcPr>
          <w:p w14:paraId="17291FBD"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top w:val="single" w:sz="4" w:space="0" w:color="000000"/>
              <w:left w:val="single" w:sz="4" w:space="0" w:color="000000"/>
              <w:bottom w:val="single" w:sz="4" w:space="0" w:color="000000"/>
            </w:tcBorders>
          </w:tcPr>
          <w:p w14:paraId="1FB34AC9" w14:textId="663D63CB"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Індекс зміни продуктивності ВВП за побутовими та подібними відходами, 2010=100</w:t>
            </w:r>
          </w:p>
        </w:tc>
      </w:tr>
      <w:tr w:rsidR="00781FB5" w:rsidRPr="00781FB5" w14:paraId="31A01E5A" w14:textId="77777777" w:rsidTr="00E21F18">
        <w:trPr>
          <w:trHeight w:val="251"/>
        </w:trPr>
        <w:tc>
          <w:tcPr>
            <w:tcW w:w="1655" w:type="pct"/>
            <w:vMerge w:val="restart"/>
            <w:tcBorders>
              <w:top w:val="single" w:sz="4" w:space="0" w:color="000000"/>
              <w:bottom w:val="single" w:sz="4" w:space="0" w:color="000000"/>
              <w:right w:val="single" w:sz="4" w:space="0" w:color="000000"/>
            </w:tcBorders>
          </w:tcPr>
          <w:p w14:paraId="50C1E9F3"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Водна продуктивність ВВП: ВВП на одиницю спожитої води, дол. /м3</w:t>
            </w:r>
          </w:p>
          <w:p w14:paraId="3A38E5BF"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(ВВП за ПКС у дол. США в постійних цінах 2010 р.)</w:t>
            </w:r>
          </w:p>
        </w:tc>
        <w:tc>
          <w:tcPr>
            <w:tcW w:w="3345" w:type="pct"/>
            <w:tcBorders>
              <w:top w:val="single" w:sz="4" w:space="0" w:color="000000"/>
              <w:left w:val="single" w:sz="4" w:space="0" w:color="000000"/>
              <w:bottom w:val="single" w:sz="4" w:space="0" w:color="000000"/>
            </w:tcBorders>
          </w:tcPr>
          <w:p w14:paraId="33D29B64"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Водна продуктивність ВВП, дол. / м3</w:t>
            </w:r>
          </w:p>
        </w:tc>
      </w:tr>
      <w:tr w:rsidR="00781FB5" w:rsidRPr="00781FB5" w14:paraId="65A80AFC" w14:textId="77777777" w:rsidTr="00E21F18">
        <w:trPr>
          <w:trHeight w:val="251"/>
        </w:trPr>
        <w:tc>
          <w:tcPr>
            <w:tcW w:w="1655" w:type="pct"/>
            <w:vMerge/>
            <w:tcBorders>
              <w:top w:val="nil"/>
              <w:bottom w:val="single" w:sz="4" w:space="0" w:color="000000"/>
              <w:right w:val="single" w:sz="4" w:space="0" w:color="000000"/>
            </w:tcBorders>
          </w:tcPr>
          <w:p w14:paraId="66B9200F"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top w:val="single" w:sz="4" w:space="0" w:color="000000"/>
              <w:left w:val="single" w:sz="4" w:space="0" w:color="000000"/>
              <w:bottom w:val="single" w:sz="4" w:space="0" w:color="000000"/>
            </w:tcBorders>
          </w:tcPr>
          <w:p w14:paraId="670FD695"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Індекс водної продуктивності ВВП, 1990=100</w:t>
            </w:r>
          </w:p>
        </w:tc>
      </w:tr>
      <w:tr w:rsidR="00781FB5" w:rsidRPr="00781FB5" w14:paraId="75A04B76" w14:textId="77777777" w:rsidTr="00E21F18">
        <w:trPr>
          <w:trHeight w:val="608"/>
        </w:trPr>
        <w:tc>
          <w:tcPr>
            <w:tcW w:w="1655" w:type="pct"/>
            <w:vMerge/>
            <w:tcBorders>
              <w:top w:val="nil"/>
              <w:bottom w:val="single" w:sz="4" w:space="0" w:color="000000"/>
              <w:right w:val="single" w:sz="4" w:space="0" w:color="000000"/>
            </w:tcBorders>
          </w:tcPr>
          <w:p w14:paraId="7ABA6539"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top w:val="single" w:sz="4" w:space="0" w:color="000000"/>
              <w:left w:val="single" w:sz="4" w:space="0" w:color="000000"/>
              <w:bottom w:val="single" w:sz="4" w:space="0" w:color="000000"/>
            </w:tcBorders>
          </w:tcPr>
          <w:p w14:paraId="5BCA2953"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Індекс обсягів спожитої води, 1990=100</w:t>
            </w:r>
          </w:p>
        </w:tc>
      </w:tr>
      <w:tr w:rsidR="00781FB5" w:rsidRPr="00781FB5" w14:paraId="4FAB635A" w14:textId="77777777" w:rsidTr="00E21F18">
        <w:trPr>
          <w:trHeight w:val="251"/>
        </w:trPr>
        <w:tc>
          <w:tcPr>
            <w:tcW w:w="1655" w:type="pct"/>
            <w:vMerge w:val="restart"/>
            <w:tcBorders>
              <w:top w:val="single" w:sz="4" w:space="0" w:color="000000"/>
              <w:bottom w:val="single" w:sz="4" w:space="0" w:color="000000"/>
              <w:right w:val="single" w:sz="4" w:space="0" w:color="000000"/>
            </w:tcBorders>
          </w:tcPr>
          <w:p w14:paraId="217BE6CE"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Баланс гумусу та поживних речовин</w:t>
            </w:r>
          </w:p>
        </w:tc>
        <w:tc>
          <w:tcPr>
            <w:tcW w:w="3345" w:type="pct"/>
            <w:tcBorders>
              <w:top w:val="single" w:sz="4" w:space="0" w:color="000000"/>
              <w:left w:val="single" w:sz="4" w:space="0" w:color="000000"/>
              <w:bottom w:val="single" w:sz="4" w:space="0" w:color="000000"/>
            </w:tcBorders>
          </w:tcPr>
          <w:p w14:paraId="295226E8"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Баланс гумусу в ґрунтах України, т/га</w:t>
            </w:r>
          </w:p>
        </w:tc>
      </w:tr>
      <w:tr w:rsidR="00781FB5" w:rsidRPr="00781FB5" w14:paraId="60AAE87B" w14:textId="77777777" w:rsidTr="00E21F18">
        <w:trPr>
          <w:trHeight w:val="251"/>
        </w:trPr>
        <w:tc>
          <w:tcPr>
            <w:tcW w:w="1655" w:type="pct"/>
            <w:vMerge/>
            <w:tcBorders>
              <w:top w:val="nil"/>
              <w:bottom w:val="single" w:sz="4" w:space="0" w:color="000000"/>
              <w:right w:val="single" w:sz="4" w:space="0" w:color="000000"/>
            </w:tcBorders>
          </w:tcPr>
          <w:p w14:paraId="7D0F6210"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top w:val="single" w:sz="4" w:space="0" w:color="000000"/>
              <w:left w:val="single" w:sz="4" w:space="0" w:color="000000"/>
              <w:bottom w:val="single" w:sz="4" w:space="0" w:color="000000"/>
            </w:tcBorders>
          </w:tcPr>
          <w:p w14:paraId="5231EF01"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Баланс поживних речовин в ґрунтах України, т/га</w:t>
            </w:r>
          </w:p>
        </w:tc>
      </w:tr>
      <w:tr w:rsidR="00781FB5" w:rsidRPr="00781FB5" w14:paraId="5B08F533" w14:textId="77777777" w:rsidTr="00E21F18">
        <w:trPr>
          <w:trHeight w:val="251"/>
        </w:trPr>
        <w:tc>
          <w:tcPr>
            <w:tcW w:w="1655" w:type="pct"/>
            <w:vMerge/>
            <w:tcBorders>
              <w:top w:val="nil"/>
              <w:bottom w:val="single" w:sz="4" w:space="0" w:color="000000"/>
              <w:right w:val="single" w:sz="4" w:space="0" w:color="000000"/>
            </w:tcBorders>
          </w:tcPr>
          <w:p w14:paraId="17A59ED6"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top w:val="single" w:sz="4" w:space="0" w:color="000000"/>
              <w:left w:val="single" w:sz="4" w:space="0" w:color="000000"/>
              <w:bottom w:val="single" w:sz="4" w:space="0" w:color="000000"/>
            </w:tcBorders>
          </w:tcPr>
          <w:p w14:paraId="47CB3DA6"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Внесення азотних та фосфорних добрив, т/1000 га</w:t>
            </w:r>
          </w:p>
        </w:tc>
      </w:tr>
      <w:tr w:rsidR="00781FB5" w:rsidRPr="00781FB5" w14:paraId="6165E593" w14:textId="77777777" w:rsidTr="00E21F18">
        <w:trPr>
          <w:trHeight w:val="364"/>
        </w:trPr>
        <w:tc>
          <w:tcPr>
            <w:tcW w:w="5000" w:type="pct"/>
            <w:gridSpan w:val="2"/>
            <w:tcBorders>
              <w:top w:val="single" w:sz="4" w:space="0" w:color="000000"/>
              <w:bottom w:val="single" w:sz="4" w:space="0" w:color="000000"/>
            </w:tcBorders>
          </w:tcPr>
          <w:p w14:paraId="01B394F3"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Індикатори наявності та використання природних ресурсів</w:t>
            </w:r>
          </w:p>
        </w:tc>
      </w:tr>
      <w:tr w:rsidR="00781FB5" w:rsidRPr="00781FB5" w14:paraId="63722884" w14:textId="77777777" w:rsidTr="00E21F18">
        <w:trPr>
          <w:trHeight w:val="471"/>
        </w:trPr>
        <w:tc>
          <w:tcPr>
            <w:tcW w:w="1655" w:type="pct"/>
            <w:vMerge w:val="restart"/>
            <w:tcBorders>
              <w:top w:val="single" w:sz="4" w:space="0" w:color="000000"/>
              <w:bottom w:val="single" w:sz="4" w:space="0" w:color="000000"/>
              <w:right w:val="single" w:sz="4" w:space="0" w:color="000000"/>
            </w:tcBorders>
          </w:tcPr>
          <w:p w14:paraId="1D251432" w14:textId="77777777" w:rsidR="00781FB5" w:rsidRPr="00781FB5" w:rsidRDefault="00781FB5" w:rsidP="00D21417">
            <w:pPr>
              <w:adjustRightInd w:val="0"/>
              <w:snapToGrid w:val="0"/>
              <w:spacing w:after="0" w:line="240" w:lineRule="auto"/>
              <w:jc w:val="both"/>
              <w:rPr>
                <w:rFonts w:ascii="Times New Roman" w:hAnsi="Times New Roman" w:cs="Times New Roman"/>
                <w:b/>
                <w:sz w:val="16"/>
                <w:szCs w:val="16"/>
              </w:rPr>
            </w:pPr>
          </w:p>
          <w:p w14:paraId="328479D6"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Земельні ресурси</w:t>
            </w:r>
          </w:p>
        </w:tc>
        <w:tc>
          <w:tcPr>
            <w:tcW w:w="3345" w:type="pct"/>
            <w:tcBorders>
              <w:top w:val="single" w:sz="4" w:space="0" w:color="000000"/>
              <w:left w:val="single" w:sz="4" w:space="0" w:color="000000"/>
              <w:bottom w:val="single" w:sz="4" w:space="0" w:color="000000"/>
            </w:tcBorders>
          </w:tcPr>
          <w:p w14:paraId="1F42DF03" w14:textId="5C2A553C"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Розподіл земельних ресурсів України, % до загальної території країни</w:t>
            </w:r>
          </w:p>
        </w:tc>
      </w:tr>
      <w:tr w:rsidR="00781FB5" w:rsidRPr="00781FB5" w14:paraId="5837F098" w14:textId="77777777" w:rsidTr="00E21F18">
        <w:trPr>
          <w:trHeight w:val="251"/>
        </w:trPr>
        <w:tc>
          <w:tcPr>
            <w:tcW w:w="1655" w:type="pct"/>
            <w:vMerge/>
            <w:tcBorders>
              <w:top w:val="nil"/>
              <w:bottom w:val="single" w:sz="4" w:space="0" w:color="000000"/>
              <w:right w:val="single" w:sz="4" w:space="0" w:color="000000"/>
            </w:tcBorders>
          </w:tcPr>
          <w:p w14:paraId="2D893329"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top w:val="single" w:sz="4" w:space="0" w:color="000000"/>
              <w:left w:val="single" w:sz="4" w:space="0" w:color="000000"/>
              <w:bottom w:val="single" w:sz="4" w:space="0" w:color="000000"/>
            </w:tcBorders>
          </w:tcPr>
          <w:p w14:paraId="037C7242"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Площа ріллі, % до загальної території країни</w:t>
            </w:r>
          </w:p>
        </w:tc>
      </w:tr>
      <w:tr w:rsidR="00781FB5" w:rsidRPr="00781FB5" w14:paraId="0CF1653F" w14:textId="77777777" w:rsidTr="00E21F18">
        <w:trPr>
          <w:trHeight w:val="251"/>
        </w:trPr>
        <w:tc>
          <w:tcPr>
            <w:tcW w:w="1655" w:type="pct"/>
            <w:vMerge/>
            <w:tcBorders>
              <w:top w:val="nil"/>
              <w:bottom w:val="single" w:sz="4" w:space="0" w:color="000000"/>
              <w:right w:val="single" w:sz="4" w:space="0" w:color="000000"/>
            </w:tcBorders>
          </w:tcPr>
          <w:p w14:paraId="7515CDE8"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top w:val="single" w:sz="4" w:space="0" w:color="000000"/>
              <w:left w:val="single" w:sz="4" w:space="0" w:color="000000"/>
              <w:bottom w:val="single" w:sz="4" w:space="0" w:color="000000"/>
            </w:tcBorders>
          </w:tcPr>
          <w:p w14:paraId="6089438D"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Площа пасовищ та сіножатей, % до загальної території</w:t>
            </w:r>
          </w:p>
        </w:tc>
      </w:tr>
      <w:tr w:rsidR="00781FB5" w:rsidRPr="00781FB5" w14:paraId="0382ACBC"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71"/>
        </w:trPr>
        <w:tc>
          <w:tcPr>
            <w:tcW w:w="1655" w:type="pct"/>
            <w:vMerge w:val="restart"/>
            <w:tcBorders>
              <w:left w:val="single" w:sz="18" w:space="0" w:color="007B3A"/>
            </w:tcBorders>
          </w:tcPr>
          <w:p w14:paraId="34341C39"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p w14:paraId="4E2B95DE"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p w14:paraId="79213359"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Органічне землеробство</w:t>
            </w:r>
          </w:p>
        </w:tc>
        <w:tc>
          <w:tcPr>
            <w:tcW w:w="3345" w:type="pct"/>
            <w:tcBorders>
              <w:right w:val="single" w:sz="18" w:space="0" w:color="007B3A"/>
            </w:tcBorders>
          </w:tcPr>
          <w:p w14:paraId="09BBC509" w14:textId="5F14CD9D"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Площа сільськогосподарських угідь, зайнята під органічним землеробством, га</w:t>
            </w:r>
          </w:p>
        </w:tc>
      </w:tr>
      <w:tr w:rsidR="00781FB5" w:rsidRPr="00781FB5" w14:paraId="7F0330E1"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691"/>
        </w:trPr>
        <w:tc>
          <w:tcPr>
            <w:tcW w:w="1655" w:type="pct"/>
            <w:vMerge/>
            <w:tcBorders>
              <w:top w:val="nil"/>
              <w:left w:val="single" w:sz="18" w:space="0" w:color="007B3A"/>
            </w:tcBorders>
          </w:tcPr>
          <w:p w14:paraId="47296031"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right w:val="single" w:sz="18" w:space="0" w:color="007B3A"/>
            </w:tcBorders>
          </w:tcPr>
          <w:p w14:paraId="195C24F9" w14:textId="3C20F2AD"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Питома вага площі під органічним землеробством у загальній території країни та у площі сільськогосподарських угідь, %</w:t>
            </w:r>
          </w:p>
        </w:tc>
      </w:tr>
      <w:tr w:rsidR="00781FB5" w:rsidRPr="00781FB5" w14:paraId="74339EA8"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71"/>
        </w:trPr>
        <w:tc>
          <w:tcPr>
            <w:tcW w:w="1655" w:type="pct"/>
            <w:tcBorders>
              <w:left w:val="single" w:sz="18" w:space="0" w:color="007B3A"/>
            </w:tcBorders>
          </w:tcPr>
          <w:p w14:paraId="3877326E"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Лісові ресурси</w:t>
            </w:r>
          </w:p>
        </w:tc>
        <w:tc>
          <w:tcPr>
            <w:tcW w:w="3345" w:type="pct"/>
            <w:tcBorders>
              <w:right w:val="single" w:sz="18" w:space="0" w:color="007B3A"/>
            </w:tcBorders>
          </w:tcPr>
          <w:p w14:paraId="4FD68831"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Площа, зайнята лісами та лісовкритими територіями, у загальній території країни, %</w:t>
            </w:r>
          </w:p>
        </w:tc>
      </w:tr>
      <w:tr w:rsidR="00781FB5" w:rsidRPr="00781FB5" w14:paraId="1A5F3956"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691"/>
        </w:trPr>
        <w:tc>
          <w:tcPr>
            <w:tcW w:w="1655" w:type="pct"/>
            <w:tcBorders>
              <w:left w:val="single" w:sz="18" w:space="0" w:color="007B3A"/>
            </w:tcBorders>
          </w:tcPr>
          <w:p w14:paraId="7B5A9195"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Зміни в землекористуванні порівняно з 1990 р. (за категоріями землі).</w:t>
            </w:r>
          </w:p>
        </w:tc>
        <w:tc>
          <w:tcPr>
            <w:tcW w:w="3345" w:type="pct"/>
            <w:tcBorders>
              <w:right w:val="single" w:sz="18" w:space="0" w:color="007B3A"/>
            </w:tcBorders>
          </w:tcPr>
          <w:p w14:paraId="5C8FF963" w14:textId="570AAD3D"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Зміни в землекористуванні порівняно з 2001 р. (за категоріями землі), відс. Пункти</w:t>
            </w:r>
          </w:p>
        </w:tc>
      </w:tr>
      <w:tr w:rsidR="00781FB5" w:rsidRPr="00781FB5" w14:paraId="3441BB2F"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51"/>
        </w:trPr>
        <w:tc>
          <w:tcPr>
            <w:tcW w:w="1655" w:type="pct"/>
            <w:tcBorders>
              <w:left w:val="single" w:sz="18" w:space="0" w:color="007B3A"/>
            </w:tcBorders>
          </w:tcPr>
          <w:p w14:paraId="52276112"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Водні ресурси</w:t>
            </w:r>
          </w:p>
        </w:tc>
        <w:tc>
          <w:tcPr>
            <w:tcW w:w="3345" w:type="pct"/>
            <w:tcBorders>
              <w:right w:val="single" w:sz="18" w:space="0" w:color="007B3A"/>
            </w:tcBorders>
          </w:tcPr>
          <w:p w14:paraId="4BC3DEA8"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Обсяги видобутої води на душу населення, м</w:t>
            </w:r>
          </w:p>
        </w:tc>
      </w:tr>
      <w:tr w:rsidR="00781FB5" w:rsidRPr="00781FB5" w14:paraId="1040AAB0"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71"/>
        </w:trPr>
        <w:tc>
          <w:tcPr>
            <w:tcW w:w="1655" w:type="pct"/>
            <w:tcBorders>
              <w:left w:val="single" w:sz="18" w:space="0" w:color="007B3A"/>
            </w:tcBorders>
          </w:tcPr>
          <w:p w14:paraId="58B6BFFB"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Невідновлювані ресурси</w:t>
            </w:r>
          </w:p>
        </w:tc>
        <w:tc>
          <w:tcPr>
            <w:tcW w:w="3345" w:type="pct"/>
            <w:tcBorders>
              <w:right w:val="single" w:sz="18" w:space="0" w:color="007B3A"/>
            </w:tcBorders>
          </w:tcPr>
          <w:p w14:paraId="75EFEC14"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Обсяги видобутку основних корисних копалин в Україні, млн тонн, млн м3</w:t>
            </w:r>
          </w:p>
        </w:tc>
      </w:tr>
      <w:tr w:rsidR="00781FB5" w:rsidRPr="00781FB5" w14:paraId="1BFD8E75"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64"/>
        </w:trPr>
        <w:tc>
          <w:tcPr>
            <w:tcW w:w="5000" w:type="pct"/>
            <w:gridSpan w:val="2"/>
            <w:tcBorders>
              <w:left w:val="single" w:sz="18" w:space="0" w:color="007B3A"/>
              <w:right w:val="single" w:sz="18" w:space="0" w:color="007B3A"/>
            </w:tcBorders>
          </w:tcPr>
          <w:p w14:paraId="1BE0D950"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Індикатори екологічних аспектів якості життя</w:t>
            </w:r>
          </w:p>
        </w:tc>
      </w:tr>
      <w:tr w:rsidR="00781FB5" w:rsidRPr="00781FB5" w14:paraId="760CF745"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71"/>
        </w:trPr>
        <w:tc>
          <w:tcPr>
            <w:tcW w:w="1655" w:type="pct"/>
            <w:vMerge w:val="restart"/>
            <w:tcBorders>
              <w:left w:val="single" w:sz="18" w:space="0" w:color="007B3A"/>
            </w:tcBorders>
          </w:tcPr>
          <w:p w14:paraId="694EE16A"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p w14:paraId="122A8138"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Рівень забруднення повітря</w:t>
            </w:r>
          </w:p>
        </w:tc>
        <w:tc>
          <w:tcPr>
            <w:tcW w:w="3345" w:type="pct"/>
            <w:tcBorders>
              <w:right w:val="single" w:sz="18" w:space="0" w:color="007B3A"/>
            </w:tcBorders>
          </w:tcPr>
          <w:p w14:paraId="03ABEF6E"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Обсяги викидів найбільш шкідливих забруднювальних речовин в атмосферу, тис. тонн</w:t>
            </w:r>
          </w:p>
        </w:tc>
      </w:tr>
      <w:tr w:rsidR="00781FB5" w:rsidRPr="00781FB5" w14:paraId="253DF973"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51"/>
        </w:trPr>
        <w:tc>
          <w:tcPr>
            <w:tcW w:w="1655" w:type="pct"/>
            <w:vMerge/>
            <w:tcBorders>
              <w:top w:val="nil"/>
              <w:left w:val="single" w:sz="18" w:space="0" w:color="007B3A"/>
            </w:tcBorders>
          </w:tcPr>
          <w:p w14:paraId="6A7707A0"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right w:val="single" w:sz="18" w:space="0" w:color="007B3A"/>
            </w:tcBorders>
          </w:tcPr>
          <w:p w14:paraId="736C852D"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Обсяги викидів оксиду азоту на душу населення, кг/чол</w:t>
            </w:r>
          </w:p>
        </w:tc>
      </w:tr>
      <w:tr w:rsidR="00781FB5" w:rsidRPr="00781FB5" w14:paraId="2CD0458A"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51"/>
        </w:trPr>
        <w:tc>
          <w:tcPr>
            <w:tcW w:w="1655" w:type="pct"/>
            <w:vMerge/>
            <w:tcBorders>
              <w:top w:val="nil"/>
              <w:left w:val="single" w:sz="18" w:space="0" w:color="007B3A"/>
            </w:tcBorders>
          </w:tcPr>
          <w:p w14:paraId="55976C0B"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right w:val="single" w:sz="18" w:space="0" w:color="007B3A"/>
            </w:tcBorders>
          </w:tcPr>
          <w:p w14:paraId="2D18D5D6"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Обсяги викидів РМ10 та РМ 2,5 на душу населення, кг/чол</w:t>
            </w:r>
          </w:p>
        </w:tc>
      </w:tr>
      <w:tr w:rsidR="00781FB5" w:rsidRPr="00781FB5" w14:paraId="1F29B5BE"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71"/>
        </w:trPr>
        <w:tc>
          <w:tcPr>
            <w:tcW w:w="1655" w:type="pct"/>
            <w:vMerge w:val="restart"/>
            <w:tcBorders>
              <w:left w:val="single" w:sz="18" w:space="0" w:color="007B3A"/>
            </w:tcBorders>
          </w:tcPr>
          <w:p w14:paraId="4D088DF5"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p w14:paraId="5C3ACD23"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p w14:paraId="56DCAF73"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Стан здоров’я населення</w:t>
            </w:r>
          </w:p>
        </w:tc>
        <w:tc>
          <w:tcPr>
            <w:tcW w:w="3345" w:type="pct"/>
            <w:tcBorders>
              <w:right w:val="single" w:sz="18" w:space="0" w:color="007B3A"/>
            </w:tcBorders>
          </w:tcPr>
          <w:p w14:paraId="6B43B2A8"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Середня очікувана тривалість життя при народженні (років)</w:t>
            </w:r>
          </w:p>
        </w:tc>
      </w:tr>
      <w:tr w:rsidR="00781FB5" w:rsidRPr="00781FB5" w14:paraId="16594523"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71"/>
        </w:trPr>
        <w:tc>
          <w:tcPr>
            <w:tcW w:w="1655" w:type="pct"/>
            <w:vMerge/>
            <w:tcBorders>
              <w:top w:val="nil"/>
              <w:left w:val="single" w:sz="18" w:space="0" w:color="007B3A"/>
            </w:tcBorders>
          </w:tcPr>
          <w:p w14:paraId="1E2E0448"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right w:val="single" w:sz="18" w:space="0" w:color="007B3A"/>
            </w:tcBorders>
          </w:tcPr>
          <w:p w14:paraId="6666F1DB" w14:textId="4FA4E78F"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Середня очікувана тривалість здорового життя при народженні (років)</w:t>
            </w:r>
          </w:p>
        </w:tc>
      </w:tr>
      <w:tr w:rsidR="00781FB5" w:rsidRPr="00781FB5" w14:paraId="6EBA4823"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71"/>
        </w:trPr>
        <w:tc>
          <w:tcPr>
            <w:tcW w:w="1655" w:type="pct"/>
            <w:vMerge/>
            <w:tcBorders>
              <w:top w:val="nil"/>
              <w:left w:val="single" w:sz="18" w:space="0" w:color="007B3A"/>
            </w:tcBorders>
          </w:tcPr>
          <w:p w14:paraId="79BE1CBD"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right w:val="single" w:sz="18" w:space="0" w:color="007B3A"/>
            </w:tcBorders>
          </w:tcPr>
          <w:p w14:paraId="0D617460"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Темпи зростання захворюваності найбільш поширеними хворобами в Україні, %</w:t>
            </w:r>
          </w:p>
        </w:tc>
      </w:tr>
      <w:tr w:rsidR="00781FB5" w:rsidRPr="00781FB5" w14:paraId="2C74147C"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691"/>
        </w:trPr>
        <w:tc>
          <w:tcPr>
            <w:tcW w:w="1655" w:type="pct"/>
            <w:tcBorders>
              <w:left w:val="single" w:sz="18" w:space="0" w:color="007B3A"/>
            </w:tcBorders>
          </w:tcPr>
          <w:p w14:paraId="7B6E4891"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Доступ населення до водопостачання та поліпшених санітарних умов</w:t>
            </w:r>
          </w:p>
        </w:tc>
        <w:tc>
          <w:tcPr>
            <w:tcW w:w="3345" w:type="pct"/>
            <w:tcBorders>
              <w:right w:val="single" w:sz="18" w:space="0" w:color="007B3A"/>
            </w:tcBorders>
          </w:tcPr>
          <w:p w14:paraId="50E2EB92"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Частка домогосподарств, підключених до централізованого водопостачання, % до загальної кількості домогосподарств</w:t>
            </w:r>
          </w:p>
        </w:tc>
      </w:tr>
      <w:tr w:rsidR="00781FB5" w:rsidRPr="00781FB5" w14:paraId="24293369"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64"/>
        </w:trPr>
        <w:tc>
          <w:tcPr>
            <w:tcW w:w="5000" w:type="pct"/>
            <w:gridSpan w:val="2"/>
            <w:tcBorders>
              <w:left w:val="single" w:sz="18" w:space="0" w:color="007B3A"/>
              <w:right w:val="single" w:sz="18" w:space="0" w:color="007B3A"/>
            </w:tcBorders>
          </w:tcPr>
          <w:p w14:paraId="7C42A7B8"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Індикатори економічних можливостей та відповідей політики</w:t>
            </w:r>
          </w:p>
        </w:tc>
      </w:tr>
      <w:tr w:rsidR="00781FB5" w:rsidRPr="00781FB5" w14:paraId="55DDAD55"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691"/>
        </w:trPr>
        <w:tc>
          <w:tcPr>
            <w:tcW w:w="1655" w:type="pct"/>
            <w:vMerge w:val="restart"/>
            <w:tcBorders>
              <w:left w:val="single" w:sz="18" w:space="0" w:color="007B3A"/>
            </w:tcBorders>
          </w:tcPr>
          <w:p w14:paraId="5BA5F678"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p w14:paraId="08ED43B2"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p w14:paraId="114ABEEF"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p w14:paraId="7B8BA44C"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Капітальні інвестиції та поточні видатки на захист навколишнього середовища за рахунок</w:t>
            </w:r>
          </w:p>
          <w:p w14:paraId="372AF0C5"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коштів Державного бюджету України</w:t>
            </w:r>
          </w:p>
        </w:tc>
        <w:tc>
          <w:tcPr>
            <w:tcW w:w="3345" w:type="pct"/>
            <w:tcBorders>
              <w:right w:val="single" w:sz="18" w:space="0" w:color="007B3A"/>
            </w:tcBorders>
          </w:tcPr>
          <w:p w14:paraId="05638478" w14:textId="04543018"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Капітальні інвестиції та поточні видатки на захист навколишнього середовища за рахунок коштів Державного бюджету України, млн грн</w:t>
            </w:r>
          </w:p>
        </w:tc>
      </w:tr>
      <w:tr w:rsidR="00781FB5" w:rsidRPr="00781FB5" w14:paraId="2E9466BB"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691"/>
        </w:trPr>
        <w:tc>
          <w:tcPr>
            <w:tcW w:w="1655" w:type="pct"/>
            <w:vMerge/>
            <w:tcBorders>
              <w:top w:val="nil"/>
              <w:left w:val="single" w:sz="18" w:space="0" w:color="007B3A"/>
            </w:tcBorders>
          </w:tcPr>
          <w:p w14:paraId="344F897F"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right w:val="single" w:sz="18" w:space="0" w:color="007B3A"/>
            </w:tcBorders>
          </w:tcPr>
          <w:p w14:paraId="6A5A8B06" w14:textId="2CC5C5B6"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Капітальні інвестиції та поточні видатки на захист навколишнього середовища за рахунок коштів Державного бюджету України, % від ВВП</w:t>
            </w:r>
          </w:p>
        </w:tc>
      </w:tr>
      <w:tr w:rsidR="00781FB5" w:rsidRPr="00781FB5" w14:paraId="116B6A2B"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691"/>
        </w:trPr>
        <w:tc>
          <w:tcPr>
            <w:tcW w:w="1655" w:type="pct"/>
            <w:vMerge/>
            <w:tcBorders>
              <w:top w:val="nil"/>
              <w:left w:val="single" w:sz="18" w:space="0" w:color="007B3A"/>
            </w:tcBorders>
          </w:tcPr>
          <w:p w14:paraId="0E35EFF3"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right w:val="single" w:sz="18" w:space="0" w:color="007B3A"/>
            </w:tcBorders>
          </w:tcPr>
          <w:p w14:paraId="4642F2DA" w14:textId="3A3EAB6A"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Розподіл капітальних інвестицій за видами природоохоронної діяльності, % до загального обсягу капітальних інвестицій</w:t>
            </w:r>
          </w:p>
        </w:tc>
      </w:tr>
      <w:tr w:rsidR="00781FB5" w:rsidRPr="00781FB5" w14:paraId="36101199"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71"/>
        </w:trPr>
        <w:tc>
          <w:tcPr>
            <w:tcW w:w="1655" w:type="pct"/>
            <w:vMerge/>
            <w:tcBorders>
              <w:top w:val="nil"/>
              <w:left w:val="single" w:sz="18" w:space="0" w:color="007B3A"/>
            </w:tcBorders>
          </w:tcPr>
          <w:p w14:paraId="60D4A659"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right w:val="single" w:sz="18" w:space="0" w:color="007B3A"/>
            </w:tcBorders>
          </w:tcPr>
          <w:p w14:paraId="58FE7D0C"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Розподіл поточних видатків за видами природоохоронної діяльності, % до загального обсягу поточних видатків</w:t>
            </w:r>
          </w:p>
        </w:tc>
      </w:tr>
      <w:tr w:rsidR="00781FB5" w:rsidRPr="00781FB5" w14:paraId="44F06616"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71"/>
        </w:trPr>
        <w:tc>
          <w:tcPr>
            <w:tcW w:w="1655" w:type="pct"/>
            <w:vMerge/>
            <w:tcBorders>
              <w:top w:val="nil"/>
              <w:left w:val="single" w:sz="18" w:space="0" w:color="007B3A"/>
            </w:tcBorders>
          </w:tcPr>
          <w:p w14:paraId="217FE510"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right w:val="single" w:sz="18" w:space="0" w:color="007B3A"/>
            </w:tcBorders>
          </w:tcPr>
          <w:p w14:paraId="42835F6B"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Обсяги бюджетних видатків на наукові дослідження та інновації за «зеленими» напрямами, млн грн</w:t>
            </w:r>
          </w:p>
        </w:tc>
      </w:tr>
      <w:tr w:rsidR="00781FB5" w:rsidRPr="00781FB5" w14:paraId="7C4F1507"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691"/>
        </w:trPr>
        <w:tc>
          <w:tcPr>
            <w:tcW w:w="1655" w:type="pct"/>
            <w:vMerge w:val="restart"/>
            <w:tcBorders>
              <w:left w:val="single" w:sz="18" w:space="0" w:color="007B3A"/>
            </w:tcBorders>
          </w:tcPr>
          <w:p w14:paraId="55892824"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p w14:paraId="09D5D83B"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Державні видатки на наукові дослідження та інновації, важливі для</w:t>
            </w:r>
          </w:p>
          <w:p w14:paraId="6BD4F92B"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«зеленого» зростання</w:t>
            </w:r>
          </w:p>
        </w:tc>
        <w:tc>
          <w:tcPr>
            <w:tcW w:w="3345" w:type="pct"/>
            <w:tcBorders>
              <w:right w:val="single" w:sz="18" w:space="0" w:color="007B3A"/>
            </w:tcBorders>
          </w:tcPr>
          <w:p w14:paraId="6467C720"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Частка обсягів бюджетних видатків на наукові дослідження та інновації за «зеленими» напрямами в загальному обсязі бюджетного фінансування науки та інновацій</w:t>
            </w:r>
          </w:p>
        </w:tc>
      </w:tr>
      <w:tr w:rsidR="00781FB5" w:rsidRPr="00781FB5" w14:paraId="7F28889D"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71"/>
        </w:trPr>
        <w:tc>
          <w:tcPr>
            <w:tcW w:w="1655" w:type="pct"/>
            <w:vMerge/>
            <w:tcBorders>
              <w:top w:val="nil"/>
              <w:left w:val="single" w:sz="18" w:space="0" w:color="007B3A"/>
            </w:tcBorders>
          </w:tcPr>
          <w:p w14:paraId="00E697CC"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right w:val="single" w:sz="18" w:space="0" w:color="007B3A"/>
            </w:tcBorders>
          </w:tcPr>
          <w:p w14:paraId="295A101A"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Структура державних видатків на наукові дослідження за напрямами «зелених» досліджень, %</w:t>
            </w:r>
          </w:p>
        </w:tc>
      </w:tr>
      <w:tr w:rsidR="00781FB5" w:rsidRPr="00781FB5" w14:paraId="00C8FC02"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71"/>
        </w:trPr>
        <w:tc>
          <w:tcPr>
            <w:tcW w:w="1655" w:type="pct"/>
            <w:vMerge/>
            <w:tcBorders>
              <w:top w:val="nil"/>
              <w:left w:val="single" w:sz="18" w:space="0" w:color="007B3A"/>
            </w:tcBorders>
          </w:tcPr>
          <w:p w14:paraId="510DEC34"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right w:val="single" w:sz="18" w:space="0" w:color="007B3A"/>
            </w:tcBorders>
          </w:tcPr>
          <w:p w14:paraId="1E2B5E2F"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Структура державних видатків на інновації за «зеленими» напрямами, %</w:t>
            </w:r>
          </w:p>
        </w:tc>
      </w:tr>
      <w:tr w:rsidR="00781FB5" w:rsidRPr="00781FB5" w14:paraId="5E96905C"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64"/>
        </w:trPr>
        <w:tc>
          <w:tcPr>
            <w:tcW w:w="5000" w:type="pct"/>
            <w:gridSpan w:val="2"/>
            <w:tcBorders>
              <w:left w:val="single" w:sz="18" w:space="0" w:color="007B3A"/>
              <w:right w:val="single" w:sz="18" w:space="0" w:color="007B3A"/>
            </w:tcBorders>
          </w:tcPr>
          <w:p w14:paraId="39787E6B"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Соціально-економічні умови та характеристики зростання</w:t>
            </w:r>
          </w:p>
        </w:tc>
      </w:tr>
      <w:tr w:rsidR="00781FB5" w:rsidRPr="00781FB5" w14:paraId="31222E87"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71"/>
        </w:trPr>
        <w:tc>
          <w:tcPr>
            <w:tcW w:w="1655" w:type="pct"/>
            <w:tcBorders>
              <w:left w:val="single" w:sz="18" w:space="0" w:color="007B3A"/>
            </w:tcBorders>
          </w:tcPr>
          <w:p w14:paraId="512CF549"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Економічне зростання та його структур</w:t>
            </w:r>
          </w:p>
        </w:tc>
        <w:tc>
          <w:tcPr>
            <w:tcW w:w="3345" w:type="pct"/>
            <w:tcBorders>
              <w:right w:val="single" w:sz="18" w:space="0" w:color="007B3A"/>
            </w:tcBorders>
          </w:tcPr>
          <w:p w14:paraId="44CABF85"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Темп зростання ВВП, % до попереднього року Структура валової доданої вартості, %</w:t>
            </w:r>
          </w:p>
        </w:tc>
      </w:tr>
      <w:tr w:rsidR="00781FB5" w:rsidRPr="00781FB5" w14:paraId="03F16C83"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51"/>
        </w:trPr>
        <w:tc>
          <w:tcPr>
            <w:tcW w:w="1655" w:type="pct"/>
            <w:vMerge w:val="restart"/>
            <w:tcBorders>
              <w:left w:val="single" w:sz="18" w:space="0" w:color="007B3A"/>
            </w:tcBorders>
          </w:tcPr>
          <w:p w14:paraId="075FC963"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Населення</w:t>
            </w:r>
          </w:p>
        </w:tc>
        <w:tc>
          <w:tcPr>
            <w:tcW w:w="3345" w:type="pct"/>
            <w:tcBorders>
              <w:right w:val="single" w:sz="18" w:space="0" w:color="007B3A"/>
            </w:tcBorders>
          </w:tcPr>
          <w:p w14:paraId="00BD945D"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Чисельність населення, млн осіб</w:t>
            </w:r>
          </w:p>
        </w:tc>
      </w:tr>
      <w:tr w:rsidR="00781FB5" w:rsidRPr="00781FB5" w14:paraId="2B609449"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51"/>
        </w:trPr>
        <w:tc>
          <w:tcPr>
            <w:tcW w:w="1655" w:type="pct"/>
            <w:vMerge/>
            <w:tcBorders>
              <w:top w:val="nil"/>
              <w:left w:val="single" w:sz="18" w:space="0" w:color="007B3A"/>
            </w:tcBorders>
          </w:tcPr>
          <w:p w14:paraId="5FDC7DF5"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p>
        </w:tc>
        <w:tc>
          <w:tcPr>
            <w:tcW w:w="3345" w:type="pct"/>
            <w:tcBorders>
              <w:right w:val="single" w:sz="18" w:space="0" w:color="007B3A"/>
            </w:tcBorders>
          </w:tcPr>
          <w:p w14:paraId="28D91753" w14:textId="77777777" w:rsidR="00781FB5" w:rsidRPr="00781FB5" w:rsidRDefault="00781FB5" w:rsidP="00D21417">
            <w:pPr>
              <w:adjustRightInd w:val="0"/>
              <w:snapToGrid w:val="0"/>
              <w:spacing w:after="0" w:line="240" w:lineRule="auto"/>
              <w:jc w:val="both"/>
              <w:rPr>
                <w:rFonts w:ascii="Times New Roman" w:hAnsi="Times New Roman" w:cs="Times New Roman"/>
                <w:sz w:val="16"/>
                <w:szCs w:val="16"/>
              </w:rPr>
            </w:pPr>
            <w:r w:rsidRPr="00781FB5">
              <w:rPr>
                <w:rFonts w:ascii="Times New Roman" w:hAnsi="Times New Roman" w:cs="Times New Roman"/>
                <w:sz w:val="16"/>
                <w:szCs w:val="16"/>
              </w:rPr>
              <w:t>Прогноз чисельності населення до 2050 р., млн осіб</w:t>
            </w:r>
          </w:p>
        </w:tc>
      </w:tr>
      <w:tr w:rsidR="00781FB5" w:rsidRPr="00781FB5" w14:paraId="6DFC104F"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691"/>
        </w:trPr>
        <w:tc>
          <w:tcPr>
            <w:tcW w:w="1655" w:type="pct"/>
            <w:vMerge w:val="restart"/>
            <w:tcBorders>
              <w:left w:val="single" w:sz="18" w:space="0" w:color="007B3A"/>
            </w:tcBorders>
          </w:tcPr>
          <w:p w14:paraId="108EF405" w14:textId="77777777" w:rsidR="00781FB5" w:rsidRPr="00781FB5" w:rsidRDefault="00781FB5" w:rsidP="0012192B">
            <w:pPr>
              <w:adjustRightInd w:val="0"/>
              <w:snapToGrid w:val="0"/>
              <w:spacing w:after="0" w:line="240" w:lineRule="auto"/>
              <w:ind w:firstLine="567"/>
              <w:jc w:val="both"/>
              <w:rPr>
                <w:rFonts w:ascii="Times New Roman" w:hAnsi="Times New Roman" w:cs="Times New Roman"/>
                <w:sz w:val="16"/>
                <w:szCs w:val="16"/>
              </w:rPr>
            </w:pPr>
          </w:p>
          <w:p w14:paraId="5734229B" w14:textId="77777777" w:rsidR="00781FB5" w:rsidRPr="00781FB5" w:rsidRDefault="00781FB5" w:rsidP="0012192B">
            <w:pPr>
              <w:adjustRightInd w:val="0"/>
              <w:snapToGrid w:val="0"/>
              <w:spacing w:after="0" w:line="240" w:lineRule="auto"/>
              <w:ind w:firstLine="567"/>
              <w:jc w:val="both"/>
              <w:rPr>
                <w:rFonts w:ascii="Times New Roman" w:hAnsi="Times New Roman" w:cs="Times New Roman"/>
                <w:sz w:val="16"/>
                <w:szCs w:val="16"/>
              </w:rPr>
            </w:pPr>
          </w:p>
          <w:p w14:paraId="06207665" w14:textId="77777777" w:rsidR="00781FB5" w:rsidRPr="00781FB5" w:rsidRDefault="00781FB5" w:rsidP="0012192B">
            <w:pPr>
              <w:adjustRightInd w:val="0"/>
              <w:snapToGrid w:val="0"/>
              <w:spacing w:after="0" w:line="240" w:lineRule="auto"/>
              <w:ind w:firstLine="567"/>
              <w:jc w:val="both"/>
              <w:rPr>
                <w:rFonts w:ascii="Times New Roman" w:hAnsi="Times New Roman" w:cs="Times New Roman"/>
                <w:sz w:val="16"/>
                <w:szCs w:val="16"/>
              </w:rPr>
            </w:pPr>
          </w:p>
          <w:p w14:paraId="266AAB41" w14:textId="77777777" w:rsidR="00781FB5" w:rsidRPr="00781FB5" w:rsidRDefault="00781FB5" w:rsidP="0012192B">
            <w:pPr>
              <w:adjustRightInd w:val="0"/>
              <w:snapToGrid w:val="0"/>
              <w:spacing w:after="0" w:line="240" w:lineRule="auto"/>
              <w:ind w:firstLine="567"/>
              <w:jc w:val="both"/>
              <w:rPr>
                <w:rFonts w:ascii="Times New Roman" w:hAnsi="Times New Roman" w:cs="Times New Roman"/>
                <w:sz w:val="16"/>
                <w:szCs w:val="16"/>
              </w:rPr>
            </w:pPr>
            <w:r w:rsidRPr="00781FB5">
              <w:rPr>
                <w:rFonts w:ascii="Times New Roman" w:hAnsi="Times New Roman" w:cs="Times New Roman"/>
                <w:sz w:val="16"/>
                <w:szCs w:val="16"/>
              </w:rPr>
              <w:t>Ринок праці</w:t>
            </w:r>
          </w:p>
        </w:tc>
        <w:tc>
          <w:tcPr>
            <w:tcW w:w="3345" w:type="pct"/>
            <w:tcBorders>
              <w:right w:val="single" w:sz="18" w:space="0" w:color="007B3A"/>
            </w:tcBorders>
          </w:tcPr>
          <w:p w14:paraId="653896AE" w14:textId="77777777" w:rsidR="00781FB5" w:rsidRPr="00781FB5" w:rsidRDefault="00781FB5" w:rsidP="0012192B">
            <w:pPr>
              <w:adjustRightInd w:val="0"/>
              <w:snapToGrid w:val="0"/>
              <w:spacing w:after="0" w:line="240" w:lineRule="auto"/>
              <w:ind w:firstLine="567"/>
              <w:jc w:val="both"/>
              <w:rPr>
                <w:rFonts w:ascii="Times New Roman" w:hAnsi="Times New Roman" w:cs="Times New Roman"/>
                <w:sz w:val="16"/>
                <w:szCs w:val="16"/>
              </w:rPr>
            </w:pPr>
            <w:r w:rsidRPr="00781FB5">
              <w:rPr>
                <w:rFonts w:ascii="Times New Roman" w:hAnsi="Times New Roman" w:cs="Times New Roman"/>
                <w:sz w:val="16"/>
                <w:szCs w:val="16"/>
              </w:rPr>
              <w:t>Рівень економічно активного населення у віці 15-70 років,</w:t>
            </w:r>
          </w:p>
          <w:p w14:paraId="46F988A6" w14:textId="1142C240" w:rsidR="00781FB5" w:rsidRPr="00781FB5" w:rsidRDefault="00781FB5" w:rsidP="0012192B">
            <w:pPr>
              <w:adjustRightInd w:val="0"/>
              <w:snapToGrid w:val="0"/>
              <w:spacing w:after="0" w:line="240" w:lineRule="auto"/>
              <w:ind w:firstLine="567"/>
              <w:jc w:val="both"/>
              <w:rPr>
                <w:rFonts w:ascii="Times New Roman" w:hAnsi="Times New Roman" w:cs="Times New Roman"/>
                <w:sz w:val="16"/>
                <w:szCs w:val="16"/>
              </w:rPr>
            </w:pPr>
            <w:r w:rsidRPr="00781FB5">
              <w:rPr>
                <w:rFonts w:ascii="Times New Roman" w:hAnsi="Times New Roman" w:cs="Times New Roman"/>
                <w:sz w:val="16"/>
                <w:szCs w:val="16"/>
              </w:rPr>
              <w:t>% економічно активного населення до чисельності населення відповідного віку</w:t>
            </w:r>
          </w:p>
        </w:tc>
      </w:tr>
      <w:tr w:rsidR="00781FB5" w:rsidRPr="00781FB5" w14:paraId="46533E24"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691"/>
        </w:trPr>
        <w:tc>
          <w:tcPr>
            <w:tcW w:w="1655" w:type="pct"/>
            <w:vMerge/>
            <w:tcBorders>
              <w:top w:val="nil"/>
              <w:left w:val="single" w:sz="18" w:space="0" w:color="007B3A"/>
            </w:tcBorders>
          </w:tcPr>
          <w:p w14:paraId="7A0A95E4" w14:textId="77777777" w:rsidR="00781FB5" w:rsidRPr="00781FB5" w:rsidRDefault="00781FB5" w:rsidP="0012192B">
            <w:pPr>
              <w:adjustRightInd w:val="0"/>
              <w:snapToGrid w:val="0"/>
              <w:spacing w:after="0" w:line="240" w:lineRule="auto"/>
              <w:ind w:firstLine="567"/>
              <w:jc w:val="both"/>
              <w:rPr>
                <w:rFonts w:ascii="Times New Roman" w:hAnsi="Times New Roman" w:cs="Times New Roman"/>
                <w:sz w:val="16"/>
                <w:szCs w:val="16"/>
              </w:rPr>
            </w:pPr>
          </w:p>
        </w:tc>
        <w:tc>
          <w:tcPr>
            <w:tcW w:w="3345" w:type="pct"/>
            <w:tcBorders>
              <w:right w:val="single" w:sz="18" w:space="0" w:color="007B3A"/>
            </w:tcBorders>
          </w:tcPr>
          <w:p w14:paraId="03253AF3" w14:textId="77777777" w:rsidR="00781FB5" w:rsidRPr="00781FB5" w:rsidRDefault="00781FB5" w:rsidP="0012192B">
            <w:pPr>
              <w:adjustRightInd w:val="0"/>
              <w:snapToGrid w:val="0"/>
              <w:spacing w:after="0" w:line="240" w:lineRule="auto"/>
              <w:ind w:firstLine="567"/>
              <w:jc w:val="both"/>
              <w:rPr>
                <w:rFonts w:ascii="Times New Roman" w:hAnsi="Times New Roman" w:cs="Times New Roman"/>
                <w:sz w:val="16"/>
                <w:szCs w:val="16"/>
              </w:rPr>
            </w:pPr>
            <w:r w:rsidRPr="00781FB5">
              <w:rPr>
                <w:rFonts w:ascii="Times New Roman" w:hAnsi="Times New Roman" w:cs="Times New Roman"/>
                <w:sz w:val="16"/>
                <w:szCs w:val="16"/>
              </w:rPr>
              <w:t>Рівень зайнятості населення у віці 15-70 років, % зайнятих у віці 15-70 років до чисельності населення відповідного віку</w:t>
            </w:r>
          </w:p>
        </w:tc>
      </w:tr>
      <w:tr w:rsidR="00781FB5" w:rsidRPr="00781FB5" w14:paraId="17DD919A"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71"/>
        </w:trPr>
        <w:tc>
          <w:tcPr>
            <w:tcW w:w="1655" w:type="pct"/>
            <w:vMerge/>
            <w:tcBorders>
              <w:top w:val="nil"/>
              <w:left w:val="single" w:sz="18" w:space="0" w:color="007B3A"/>
            </w:tcBorders>
          </w:tcPr>
          <w:p w14:paraId="0283B7F6" w14:textId="77777777" w:rsidR="00781FB5" w:rsidRPr="00781FB5" w:rsidRDefault="00781FB5" w:rsidP="0012192B">
            <w:pPr>
              <w:adjustRightInd w:val="0"/>
              <w:snapToGrid w:val="0"/>
              <w:spacing w:after="0" w:line="240" w:lineRule="auto"/>
              <w:ind w:firstLine="567"/>
              <w:jc w:val="both"/>
              <w:rPr>
                <w:rFonts w:ascii="Times New Roman" w:hAnsi="Times New Roman" w:cs="Times New Roman"/>
                <w:sz w:val="16"/>
                <w:szCs w:val="16"/>
              </w:rPr>
            </w:pPr>
          </w:p>
        </w:tc>
        <w:tc>
          <w:tcPr>
            <w:tcW w:w="3345" w:type="pct"/>
            <w:tcBorders>
              <w:right w:val="single" w:sz="18" w:space="0" w:color="007B3A"/>
            </w:tcBorders>
          </w:tcPr>
          <w:p w14:paraId="12350A6C" w14:textId="77777777" w:rsidR="00781FB5" w:rsidRPr="00781FB5" w:rsidRDefault="00781FB5" w:rsidP="0012192B">
            <w:pPr>
              <w:adjustRightInd w:val="0"/>
              <w:snapToGrid w:val="0"/>
              <w:spacing w:after="0" w:line="240" w:lineRule="auto"/>
              <w:ind w:firstLine="567"/>
              <w:jc w:val="both"/>
              <w:rPr>
                <w:rFonts w:ascii="Times New Roman" w:hAnsi="Times New Roman" w:cs="Times New Roman"/>
                <w:sz w:val="16"/>
                <w:szCs w:val="16"/>
              </w:rPr>
            </w:pPr>
            <w:r w:rsidRPr="00781FB5">
              <w:rPr>
                <w:rFonts w:ascii="Times New Roman" w:hAnsi="Times New Roman" w:cs="Times New Roman"/>
                <w:sz w:val="16"/>
                <w:szCs w:val="16"/>
              </w:rPr>
              <w:t>Рівень безробіття, % безробітних до економічно активного населення (за методологією МОП)</w:t>
            </w:r>
          </w:p>
        </w:tc>
      </w:tr>
      <w:tr w:rsidR="00781FB5" w:rsidRPr="00781FB5" w14:paraId="3CE7E277"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911"/>
        </w:trPr>
        <w:tc>
          <w:tcPr>
            <w:tcW w:w="1655" w:type="pct"/>
            <w:tcBorders>
              <w:left w:val="single" w:sz="18" w:space="0" w:color="007B3A"/>
            </w:tcBorders>
          </w:tcPr>
          <w:p w14:paraId="2A278C8D" w14:textId="77777777" w:rsidR="00781FB5" w:rsidRPr="00781FB5" w:rsidRDefault="00781FB5" w:rsidP="0012192B">
            <w:pPr>
              <w:adjustRightInd w:val="0"/>
              <w:snapToGrid w:val="0"/>
              <w:spacing w:after="0" w:line="240" w:lineRule="auto"/>
              <w:ind w:firstLine="567"/>
              <w:jc w:val="both"/>
              <w:rPr>
                <w:rFonts w:ascii="Times New Roman" w:hAnsi="Times New Roman" w:cs="Times New Roman"/>
                <w:sz w:val="16"/>
                <w:szCs w:val="16"/>
              </w:rPr>
            </w:pPr>
            <w:r w:rsidRPr="00781FB5">
              <w:rPr>
                <w:rFonts w:ascii="Times New Roman" w:hAnsi="Times New Roman" w:cs="Times New Roman"/>
                <w:sz w:val="16"/>
                <w:szCs w:val="16"/>
              </w:rPr>
              <w:t>Багатофакторна продуктивність по економіці в цілому</w:t>
            </w:r>
          </w:p>
        </w:tc>
        <w:tc>
          <w:tcPr>
            <w:tcW w:w="3345" w:type="pct"/>
            <w:tcBorders>
              <w:right w:val="single" w:sz="18" w:space="0" w:color="007B3A"/>
            </w:tcBorders>
          </w:tcPr>
          <w:p w14:paraId="4A47BB43" w14:textId="77777777" w:rsidR="00781FB5" w:rsidRPr="00781FB5" w:rsidRDefault="00781FB5" w:rsidP="0012192B">
            <w:pPr>
              <w:adjustRightInd w:val="0"/>
              <w:snapToGrid w:val="0"/>
              <w:spacing w:after="0" w:line="240" w:lineRule="auto"/>
              <w:ind w:firstLine="567"/>
              <w:jc w:val="both"/>
              <w:rPr>
                <w:rFonts w:ascii="Times New Roman" w:hAnsi="Times New Roman" w:cs="Times New Roman"/>
                <w:sz w:val="16"/>
                <w:szCs w:val="16"/>
              </w:rPr>
            </w:pPr>
            <w:r w:rsidRPr="00781FB5">
              <w:rPr>
                <w:rFonts w:ascii="Times New Roman" w:hAnsi="Times New Roman" w:cs="Times New Roman"/>
                <w:sz w:val="16"/>
                <w:szCs w:val="16"/>
              </w:rPr>
              <w:t>Багатофакторна продуктивність по економіці в цілому Вимірюється як різниця між темпами приросту ВВП та вхідних факторів (праці та капіталу для економіки в цілому)</w:t>
            </w:r>
          </w:p>
        </w:tc>
      </w:tr>
      <w:tr w:rsidR="00781FB5" w:rsidRPr="00781FB5" w14:paraId="67D18F94"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33"/>
        </w:trPr>
        <w:tc>
          <w:tcPr>
            <w:tcW w:w="1655" w:type="pct"/>
            <w:vMerge w:val="restart"/>
            <w:tcBorders>
              <w:left w:val="single" w:sz="18" w:space="0" w:color="007B3A"/>
              <w:bottom w:val="single" w:sz="18" w:space="0" w:color="007B3A"/>
            </w:tcBorders>
          </w:tcPr>
          <w:p w14:paraId="26E7C301" w14:textId="77777777" w:rsidR="00781FB5" w:rsidRPr="00781FB5" w:rsidRDefault="00781FB5" w:rsidP="0012192B">
            <w:pPr>
              <w:adjustRightInd w:val="0"/>
              <w:snapToGrid w:val="0"/>
              <w:spacing w:after="0" w:line="240" w:lineRule="auto"/>
              <w:ind w:firstLine="567"/>
              <w:jc w:val="both"/>
              <w:rPr>
                <w:rFonts w:ascii="Times New Roman" w:hAnsi="Times New Roman" w:cs="Times New Roman"/>
                <w:sz w:val="16"/>
                <w:szCs w:val="16"/>
              </w:rPr>
            </w:pPr>
          </w:p>
          <w:p w14:paraId="2430B3B0" w14:textId="77777777" w:rsidR="00781FB5" w:rsidRPr="00781FB5" w:rsidRDefault="00781FB5" w:rsidP="0012192B">
            <w:pPr>
              <w:adjustRightInd w:val="0"/>
              <w:snapToGrid w:val="0"/>
              <w:spacing w:after="0" w:line="240" w:lineRule="auto"/>
              <w:ind w:firstLine="567"/>
              <w:jc w:val="both"/>
              <w:rPr>
                <w:rFonts w:ascii="Times New Roman" w:hAnsi="Times New Roman" w:cs="Times New Roman"/>
                <w:sz w:val="16"/>
                <w:szCs w:val="16"/>
              </w:rPr>
            </w:pPr>
          </w:p>
          <w:p w14:paraId="7B6A34DC" w14:textId="77777777" w:rsidR="00781FB5" w:rsidRPr="00781FB5" w:rsidRDefault="00781FB5" w:rsidP="0012192B">
            <w:pPr>
              <w:adjustRightInd w:val="0"/>
              <w:snapToGrid w:val="0"/>
              <w:spacing w:after="0" w:line="240" w:lineRule="auto"/>
              <w:ind w:firstLine="567"/>
              <w:jc w:val="both"/>
              <w:rPr>
                <w:rFonts w:ascii="Times New Roman" w:hAnsi="Times New Roman" w:cs="Times New Roman"/>
                <w:sz w:val="16"/>
                <w:szCs w:val="16"/>
              </w:rPr>
            </w:pPr>
            <w:r w:rsidRPr="00781FB5">
              <w:rPr>
                <w:rFonts w:ascii="Times New Roman" w:hAnsi="Times New Roman" w:cs="Times New Roman"/>
                <w:sz w:val="16"/>
                <w:szCs w:val="16"/>
              </w:rPr>
              <w:t>Індикатори ефективності політичних рішень</w:t>
            </w:r>
          </w:p>
        </w:tc>
        <w:tc>
          <w:tcPr>
            <w:tcW w:w="3345" w:type="pct"/>
            <w:tcBorders>
              <w:right w:val="single" w:sz="18" w:space="0" w:color="007B3A"/>
            </w:tcBorders>
          </w:tcPr>
          <w:p w14:paraId="347AD887" w14:textId="77777777" w:rsidR="00781FB5" w:rsidRPr="00781FB5" w:rsidRDefault="00781FB5" w:rsidP="0012192B">
            <w:pPr>
              <w:adjustRightInd w:val="0"/>
              <w:snapToGrid w:val="0"/>
              <w:spacing w:after="0" w:line="240" w:lineRule="auto"/>
              <w:ind w:firstLine="567"/>
              <w:jc w:val="both"/>
              <w:rPr>
                <w:rFonts w:ascii="Times New Roman" w:hAnsi="Times New Roman" w:cs="Times New Roman"/>
                <w:sz w:val="16"/>
                <w:szCs w:val="16"/>
              </w:rPr>
            </w:pPr>
            <w:r w:rsidRPr="00781FB5">
              <w:rPr>
                <w:rFonts w:ascii="Times New Roman" w:hAnsi="Times New Roman" w:cs="Times New Roman"/>
                <w:sz w:val="16"/>
                <w:szCs w:val="16"/>
              </w:rPr>
              <w:t>Індекс легкості ведення бізнесу (обстеження Doing Business)</w:t>
            </w:r>
          </w:p>
        </w:tc>
      </w:tr>
      <w:tr w:rsidR="00781FB5" w:rsidRPr="00781FB5" w14:paraId="4056D364"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36"/>
        </w:trPr>
        <w:tc>
          <w:tcPr>
            <w:tcW w:w="1655" w:type="pct"/>
            <w:vMerge/>
            <w:tcBorders>
              <w:top w:val="nil"/>
              <w:left w:val="single" w:sz="18" w:space="0" w:color="007B3A"/>
              <w:bottom w:val="single" w:sz="18" w:space="0" w:color="007B3A"/>
            </w:tcBorders>
          </w:tcPr>
          <w:p w14:paraId="6D7E071D" w14:textId="77777777" w:rsidR="00781FB5" w:rsidRPr="00781FB5" w:rsidRDefault="00781FB5" w:rsidP="0012192B">
            <w:pPr>
              <w:adjustRightInd w:val="0"/>
              <w:snapToGrid w:val="0"/>
              <w:spacing w:after="0" w:line="240" w:lineRule="auto"/>
              <w:ind w:firstLine="567"/>
              <w:jc w:val="both"/>
              <w:rPr>
                <w:rFonts w:ascii="Times New Roman" w:hAnsi="Times New Roman" w:cs="Times New Roman"/>
                <w:sz w:val="16"/>
                <w:szCs w:val="16"/>
              </w:rPr>
            </w:pPr>
          </w:p>
        </w:tc>
        <w:tc>
          <w:tcPr>
            <w:tcW w:w="3345" w:type="pct"/>
            <w:tcBorders>
              <w:right w:val="single" w:sz="18" w:space="0" w:color="007B3A"/>
            </w:tcBorders>
          </w:tcPr>
          <w:p w14:paraId="16E3E863" w14:textId="77777777" w:rsidR="00781FB5" w:rsidRPr="00781FB5" w:rsidRDefault="00781FB5" w:rsidP="0012192B">
            <w:pPr>
              <w:adjustRightInd w:val="0"/>
              <w:snapToGrid w:val="0"/>
              <w:spacing w:after="0" w:line="240" w:lineRule="auto"/>
              <w:ind w:firstLine="567"/>
              <w:jc w:val="both"/>
              <w:rPr>
                <w:rFonts w:ascii="Times New Roman" w:hAnsi="Times New Roman" w:cs="Times New Roman"/>
                <w:sz w:val="16"/>
                <w:szCs w:val="16"/>
              </w:rPr>
            </w:pPr>
            <w:r w:rsidRPr="00781FB5">
              <w:rPr>
                <w:rFonts w:ascii="Times New Roman" w:hAnsi="Times New Roman" w:cs="Times New Roman"/>
                <w:sz w:val="16"/>
                <w:szCs w:val="16"/>
              </w:rPr>
              <w:t>Глобальний індекс конкурентоспроможності (обстеження в рамках Всесвітнього економічного форуму)</w:t>
            </w:r>
          </w:p>
        </w:tc>
      </w:tr>
      <w:tr w:rsidR="00781FB5" w:rsidRPr="00781FB5" w14:paraId="2D62C015"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32"/>
        </w:trPr>
        <w:tc>
          <w:tcPr>
            <w:tcW w:w="1655" w:type="pct"/>
            <w:vMerge/>
            <w:tcBorders>
              <w:top w:val="nil"/>
              <w:left w:val="single" w:sz="18" w:space="0" w:color="007B3A"/>
              <w:bottom w:val="single" w:sz="18" w:space="0" w:color="007B3A"/>
            </w:tcBorders>
          </w:tcPr>
          <w:p w14:paraId="5DF86A5C" w14:textId="77777777" w:rsidR="00781FB5" w:rsidRPr="00781FB5" w:rsidRDefault="00781FB5" w:rsidP="0012192B">
            <w:pPr>
              <w:adjustRightInd w:val="0"/>
              <w:snapToGrid w:val="0"/>
              <w:spacing w:after="0" w:line="240" w:lineRule="auto"/>
              <w:ind w:firstLine="567"/>
              <w:jc w:val="both"/>
              <w:rPr>
                <w:rFonts w:ascii="Times New Roman" w:hAnsi="Times New Roman" w:cs="Times New Roman"/>
                <w:sz w:val="16"/>
                <w:szCs w:val="16"/>
              </w:rPr>
            </w:pPr>
          </w:p>
        </w:tc>
        <w:tc>
          <w:tcPr>
            <w:tcW w:w="3345" w:type="pct"/>
            <w:tcBorders>
              <w:right w:val="single" w:sz="18" w:space="0" w:color="007B3A"/>
            </w:tcBorders>
          </w:tcPr>
          <w:p w14:paraId="1E152CC2" w14:textId="77777777" w:rsidR="00781FB5" w:rsidRPr="00781FB5" w:rsidRDefault="00781FB5" w:rsidP="0012192B">
            <w:pPr>
              <w:adjustRightInd w:val="0"/>
              <w:snapToGrid w:val="0"/>
              <w:spacing w:after="0" w:line="240" w:lineRule="auto"/>
              <w:ind w:firstLine="567"/>
              <w:jc w:val="both"/>
              <w:rPr>
                <w:rFonts w:ascii="Times New Roman" w:hAnsi="Times New Roman" w:cs="Times New Roman"/>
                <w:sz w:val="16"/>
                <w:szCs w:val="16"/>
              </w:rPr>
            </w:pPr>
            <w:r w:rsidRPr="00781FB5">
              <w:rPr>
                <w:rFonts w:ascii="Times New Roman" w:hAnsi="Times New Roman" w:cs="Times New Roman"/>
                <w:sz w:val="16"/>
                <w:szCs w:val="16"/>
              </w:rPr>
              <w:t>Індекс екологічної ефективності (обстеження та оцінки Єльського університету)</w:t>
            </w:r>
          </w:p>
        </w:tc>
      </w:tr>
      <w:tr w:rsidR="00781FB5" w:rsidRPr="00781FB5" w14:paraId="5CC8CAAD" w14:textId="77777777" w:rsidTr="00E21F1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29"/>
        </w:trPr>
        <w:tc>
          <w:tcPr>
            <w:tcW w:w="1655" w:type="pct"/>
            <w:vMerge/>
            <w:tcBorders>
              <w:top w:val="nil"/>
              <w:left w:val="single" w:sz="18" w:space="0" w:color="007B3A"/>
              <w:bottom w:val="single" w:sz="18" w:space="0" w:color="007B3A"/>
            </w:tcBorders>
          </w:tcPr>
          <w:p w14:paraId="406FA28C" w14:textId="77777777" w:rsidR="00781FB5" w:rsidRPr="00781FB5" w:rsidRDefault="00781FB5" w:rsidP="0012192B">
            <w:pPr>
              <w:adjustRightInd w:val="0"/>
              <w:snapToGrid w:val="0"/>
              <w:spacing w:after="0" w:line="240" w:lineRule="auto"/>
              <w:ind w:firstLine="567"/>
              <w:jc w:val="both"/>
              <w:rPr>
                <w:rFonts w:ascii="Times New Roman" w:hAnsi="Times New Roman" w:cs="Times New Roman"/>
                <w:sz w:val="16"/>
                <w:szCs w:val="16"/>
              </w:rPr>
            </w:pPr>
          </w:p>
        </w:tc>
        <w:tc>
          <w:tcPr>
            <w:tcW w:w="3345" w:type="pct"/>
            <w:tcBorders>
              <w:bottom w:val="single" w:sz="18" w:space="0" w:color="007B3A"/>
              <w:right w:val="single" w:sz="18" w:space="0" w:color="007B3A"/>
            </w:tcBorders>
          </w:tcPr>
          <w:p w14:paraId="15BBA230" w14:textId="77777777" w:rsidR="00781FB5" w:rsidRPr="00781FB5" w:rsidRDefault="00781FB5" w:rsidP="0012192B">
            <w:pPr>
              <w:adjustRightInd w:val="0"/>
              <w:snapToGrid w:val="0"/>
              <w:spacing w:after="0" w:line="240" w:lineRule="auto"/>
              <w:ind w:firstLine="567"/>
              <w:jc w:val="both"/>
              <w:rPr>
                <w:rFonts w:ascii="Times New Roman" w:hAnsi="Times New Roman" w:cs="Times New Roman"/>
                <w:sz w:val="16"/>
                <w:szCs w:val="16"/>
              </w:rPr>
            </w:pPr>
            <w:r w:rsidRPr="00781FB5">
              <w:rPr>
                <w:rFonts w:ascii="Times New Roman" w:hAnsi="Times New Roman" w:cs="Times New Roman"/>
                <w:sz w:val="16"/>
                <w:szCs w:val="16"/>
              </w:rPr>
              <w:t>Індекс сталості суспільства (оцінки Фонду сталого</w:t>
            </w:r>
          </w:p>
          <w:p w14:paraId="5A49D04C" w14:textId="77777777" w:rsidR="00781FB5" w:rsidRPr="00781FB5" w:rsidRDefault="00781FB5" w:rsidP="0012192B">
            <w:pPr>
              <w:adjustRightInd w:val="0"/>
              <w:snapToGrid w:val="0"/>
              <w:spacing w:after="0" w:line="240" w:lineRule="auto"/>
              <w:ind w:firstLine="567"/>
              <w:jc w:val="both"/>
              <w:rPr>
                <w:rFonts w:ascii="Times New Roman" w:hAnsi="Times New Roman" w:cs="Times New Roman"/>
                <w:sz w:val="16"/>
                <w:szCs w:val="16"/>
              </w:rPr>
            </w:pPr>
            <w:r w:rsidRPr="00781FB5">
              <w:rPr>
                <w:rFonts w:ascii="Times New Roman" w:hAnsi="Times New Roman" w:cs="Times New Roman"/>
                <w:sz w:val="16"/>
                <w:szCs w:val="16"/>
              </w:rPr>
              <w:t>суспільства)</w:t>
            </w:r>
          </w:p>
        </w:tc>
      </w:tr>
    </w:tbl>
    <w:p w14:paraId="0639B56C" w14:textId="77777777" w:rsidR="00073060" w:rsidRPr="00853A21" w:rsidRDefault="00073060" w:rsidP="00023A23">
      <w:pPr>
        <w:adjustRightInd w:val="0"/>
        <w:snapToGrid w:val="0"/>
        <w:spacing w:after="0" w:line="240" w:lineRule="auto"/>
        <w:jc w:val="both"/>
        <w:rPr>
          <w:rFonts w:ascii="Times New Roman" w:hAnsi="Times New Roman" w:cs="Times New Roman"/>
          <w:i/>
          <w:sz w:val="16"/>
          <w:szCs w:val="16"/>
        </w:rPr>
      </w:pPr>
    </w:p>
    <w:p w14:paraId="5B4CE8F1" w14:textId="5585E961" w:rsidR="00781FB5" w:rsidRPr="00023A23" w:rsidRDefault="00781FB5" w:rsidP="0012192B">
      <w:pPr>
        <w:adjustRightInd w:val="0"/>
        <w:snapToGrid w:val="0"/>
        <w:spacing w:after="0" w:line="240" w:lineRule="auto"/>
        <w:ind w:firstLine="567"/>
        <w:jc w:val="both"/>
        <w:rPr>
          <w:rFonts w:ascii="Times New Roman" w:hAnsi="Times New Roman" w:cs="Times New Roman"/>
          <w:sz w:val="20"/>
          <w:szCs w:val="20"/>
        </w:rPr>
      </w:pPr>
      <w:r w:rsidRPr="00023A23">
        <w:rPr>
          <w:rFonts w:ascii="Times New Roman" w:hAnsi="Times New Roman" w:cs="Times New Roman"/>
          <w:sz w:val="20"/>
          <w:szCs w:val="20"/>
        </w:rPr>
        <w:t xml:space="preserve">З точки зору економіки особливо важливими групами є індикатори ресурсної та екологічної продуктивності, ефективності використання природних ресурсів та індикатори економічних можливостей і політичних дій. З точки зору екології – індикатори наявності та використання природних ресурсів; з точки зору інклюзивного зростання – індикатори екологічних аспектів якості життя. Індикатори соціально-економічного контексту і </w:t>
      </w:r>
      <w:r w:rsidRPr="00023A23">
        <w:rPr>
          <w:rFonts w:ascii="Times New Roman" w:hAnsi="Times New Roman" w:cs="Times New Roman"/>
          <w:sz w:val="20"/>
          <w:szCs w:val="20"/>
        </w:rPr>
        <w:lastRenderedPageBreak/>
        <w:t>характеристик зростання будуть свідчити про темпи зростання економіки і його характеристиках на шляху до «зеленої» економіки.</w:t>
      </w:r>
    </w:p>
    <w:p w14:paraId="442FF38D" w14:textId="2B7F94F2" w:rsidR="00781FB5" w:rsidRPr="00023A23" w:rsidRDefault="00FF74EB" w:rsidP="00073060">
      <w:pPr>
        <w:adjustRightInd w:val="0"/>
        <w:snapToGrid w:val="0"/>
        <w:spacing w:after="0" w:line="240" w:lineRule="auto"/>
        <w:ind w:firstLine="567"/>
        <w:jc w:val="both"/>
        <w:rPr>
          <w:rFonts w:ascii="Times New Roman" w:hAnsi="Times New Roman" w:cs="Times New Roman"/>
          <w:sz w:val="20"/>
          <w:szCs w:val="20"/>
        </w:rPr>
      </w:pPr>
      <w:r>
        <w:rPr>
          <w:rFonts w:ascii="Times New Roman" w:hAnsi="Times New Roman" w:cs="Times New Roman"/>
          <w:b/>
          <w:sz w:val="20"/>
          <w:szCs w:val="20"/>
        </w:rPr>
        <w:t>Е</w:t>
      </w:r>
      <w:r w:rsidR="00781FB5" w:rsidRPr="00023A23">
        <w:rPr>
          <w:rFonts w:ascii="Times New Roman" w:hAnsi="Times New Roman" w:cs="Times New Roman"/>
          <w:b/>
          <w:sz w:val="20"/>
          <w:szCs w:val="20"/>
        </w:rPr>
        <w:t xml:space="preserve">фективність індикаторів «зеленого» зростання. </w:t>
      </w:r>
      <w:r w:rsidR="00781FB5" w:rsidRPr="00023A23">
        <w:rPr>
          <w:rFonts w:ascii="Times New Roman" w:hAnsi="Times New Roman" w:cs="Times New Roman"/>
          <w:sz w:val="20"/>
          <w:szCs w:val="20"/>
        </w:rPr>
        <w:t>На сьогодні міжнародні організації, що ведуть роботу в</w:t>
      </w:r>
      <w:r w:rsidR="00073060" w:rsidRPr="00C37F1C">
        <w:rPr>
          <w:rFonts w:ascii="Times New Roman" w:hAnsi="Times New Roman" w:cs="Times New Roman"/>
          <w:sz w:val="20"/>
          <w:szCs w:val="20"/>
        </w:rPr>
        <w:t xml:space="preserve"> </w:t>
      </w:r>
      <w:r w:rsidR="00781FB5" w:rsidRPr="00023A23">
        <w:rPr>
          <w:rFonts w:ascii="Times New Roman" w:hAnsi="Times New Roman" w:cs="Times New Roman"/>
          <w:sz w:val="20"/>
          <w:szCs w:val="20"/>
        </w:rPr>
        <w:t>галузі «зеленого» росту, об'єднують свої зусилля для створення спільної аналітичної системи для оцінки прогресу в цій сфері (ОЕСР, ЮНЕП, Всесвітній банк). Незважаючи на використання різних підходів для груп показників, ці набори були спрямовані на вирішення одного завдання: показати еволюцію природного капіталу країни та її взаємозв'язок з економікою і суспільством у більш загальному плані.</w:t>
      </w:r>
    </w:p>
    <w:p w14:paraId="3E2C37B1" w14:textId="21F593BE" w:rsidR="00781FB5" w:rsidRPr="00023A23" w:rsidRDefault="00781FB5" w:rsidP="00E21F18">
      <w:pPr>
        <w:adjustRightInd w:val="0"/>
        <w:snapToGrid w:val="0"/>
        <w:spacing w:after="0" w:line="240" w:lineRule="auto"/>
        <w:ind w:firstLine="567"/>
        <w:jc w:val="both"/>
        <w:rPr>
          <w:rFonts w:ascii="Times New Roman" w:hAnsi="Times New Roman" w:cs="Times New Roman"/>
          <w:sz w:val="20"/>
          <w:szCs w:val="20"/>
        </w:rPr>
      </w:pPr>
      <w:r w:rsidRPr="00023A23">
        <w:rPr>
          <w:rFonts w:ascii="Times New Roman" w:hAnsi="Times New Roman" w:cs="Times New Roman"/>
          <w:sz w:val="20"/>
          <w:szCs w:val="20"/>
        </w:rPr>
        <w:t>Упровадження системи індикаторів</w:t>
      </w:r>
      <w:r w:rsidR="00E21F18" w:rsidRPr="00023A23">
        <w:rPr>
          <w:rFonts w:ascii="Times New Roman" w:hAnsi="Times New Roman" w:cs="Times New Roman"/>
          <w:sz w:val="20"/>
          <w:szCs w:val="20"/>
        </w:rPr>
        <w:t xml:space="preserve"> </w:t>
      </w:r>
      <w:r w:rsidRPr="00023A23">
        <w:rPr>
          <w:rFonts w:ascii="Times New Roman" w:hAnsi="Times New Roman" w:cs="Times New Roman"/>
          <w:sz w:val="20"/>
          <w:szCs w:val="20"/>
        </w:rPr>
        <w:t>«зеленої» економіки в практиці планування України дозволить:</w:t>
      </w:r>
    </w:p>
    <w:p w14:paraId="416160D6" w14:textId="6531AE2C" w:rsidR="00781FB5" w:rsidRPr="00023A23" w:rsidRDefault="00781FB5" w:rsidP="00030A38">
      <w:pPr>
        <w:numPr>
          <w:ilvl w:val="0"/>
          <w:numId w:val="16"/>
        </w:numPr>
        <w:adjustRightInd w:val="0"/>
        <w:snapToGrid w:val="0"/>
        <w:spacing w:after="0" w:line="240" w:lineRule="auto"/>
        <w:ind w:left="0" w:firstLine="567"/>
        <w:jc w:val="both"/>
        <w:rPr>
          <w:rFonts w:ascii="Times New Roman" w:hAnsi="Times New Roman" w:cs="Times New Roman"/>
          <w:sz w:val="20"/>
          <w:szCs w:val="20"/>
        </w:rPr>
      </w:pPr>
      <w:r w:rsidRPr="00023A23">
        <w:rPr>
          <w:rFonts w:ascii="Times New Roman" w:hAnsi="Times New Roman" w:cs="Times New Roman"/>
          <w:sz w:val="20"/>
          <w:szCs w:val="20"/>
        </w:rPr>
        <w:t>гармонізувати вітчизняне законодавство із законодавством ЄС щодо індикаторів «зеленого» розвитку;</w:t>
      </w:r>
    </w:p>
    <w:p w14:paraId="4FCCBBEC" w14:textId="06018368" w:rsidR="00781FB5" w:rsidRPr="00023A23" w:rsidRDefault="00781FB5" w:rsidP="00030A38">
      <w:pPr>
        <w:numPr>
          <w:ilvl w:val="0"/>
          <w:numId w:val="16"/>
        </w:numPr>
        <w:adjustRightInd w:val="0"/>
        <w:snapToGrid w:val="0"/>
        <w:spacing w:after="0" w:line="240" w:lineRule="auto"/>
        <w:ind w:left="0" w:firstLine="567"/>
        <w:jc w:val="both"/>
        <w:rPr>
          <w:rFonts w:ascii="Times New Roman" w:hAnsi="Times New Roman" w:cs="Times New Roman"/>
          <w:sz w:val="20"/>
          <w:szCs w:val="20"/>
        </w:rPr>
      </w:pPr>
      <w:r w:rsidRPr="00023A23">
        <w:rPr>
          <w:rFonts w:ascii="Times New Roman" w:hAnsi="Times New Roman" w:cs="Times New Roman"/>
          <w:sz w:val="20"/>
          <w:szCs w:val="20"/>
        </w:rPr>
        <w:t>поліпшити моніторинг виконання державних та регіональних програм і проектів;</w:t>
      </w:r>
    </w:p>
    <w:p w14:paraId="7C521FD4" w14:textId="17D1B990" w:rsidR="00781FB5" w:rsidRPr="00023A23" w:rsidRDefault="00781FB5" w:rsidP="00030A38">
      <w:pPr>
        <w:numPr>
          <w:ilvl w:val="0"/>
          <w:numId w:val="16"/>
        </w:numPr>
        <w:adjustRightInd w:val="0"/>
        <w:snapToGrid w:val="0"/>
        <w:spacing w:after="0" w:line="240" w:lineRule="auto"/>
        <w:ind w:left="0" w:firstLine="567"/>
        <w:jc w:val="both"/>
        <w:rPr>
          <w:rFonts w:ascii="Times New Roman" w:hAnsi="Times New Roman" w:cs="Times New Roman"/>
          <w:sz w:val="20"/>
          <w:szCs w:val="20"/>
        </w:rPr>
      </w:pPr>
      <w:r w:rsidRPr="00023A23">
        <w:rPr>
          <w:rFonts w:ascii="Times New Roman" w:hAnsi="Times New Roman" w:cs="Times New Roman"/>
          <w:sz w:val="20"/>
          <w:szCs w:val="20"/>
        </w:rPr>
        <w:t>імплементувати кращий європейський досвід ведення рахунків до реалій національної практики щодо трансформації системи еколого-економічного обліку та оцінки результативності досягнутого прогресу у сфері «зелених» реформ;</w:t>
      </w:r>
    </w:p>
    <w:p w14:paraId="759BF2B6" w14:textId="63C88D32" w:rsidR="00781FB5" w:rsidRPr="00023A23" w:rsidRDefault="00781FB5" w:rsidP="00030A38">
      <w:pPr>
        <w:numPr>
          <w:ilvl w:val="0"/>
          <w:numId w:val="16"/>
        </w:numPr>
        <w:adjustRightInd w:val="0"/>
        <w:snapToGrid w:val="0"/>
        <w:spacing w:after="0" w:line="240" w:lineRule="auto"/>
        <w:ind w:left="0" w:firstLine="567"/>
        <w:jc w:val="both"/>
        <w:rPr>
          <w:rFonts w:ascii="Times New Roman" w:hAnsi="Times New Roman" w:cs="Times New Roman"/>
          <w:sz w:val="20"/>
          <w:szCs w:val="20"/>
        </w:rPr>
      </w:pPr>
      <w:r w:rsidRPr="00023A23">
        <w:rPr>
          <w:rFonts w:ascii="Times New Roman" w:hAnsi="Times New Roman" w:cs="Times New Roman"/>
          <w:sz w:val="20"/>
          <w:szCs w:val="20"/>
        </w:rPr>
        <w:t>посилити механізми міжнародної взаємодії та партнерства щодо моніторингу досягнутих результатів.</w:t>
      </w:r>
    </w:p>
    <w:p w14:paraId="783FA24B" w14:textId="1FDDA6BC" w:rsidR="00781FB5" w:rsidRPr="00023A23" w:rsidRDefault="00781FB5" w:rsidP="00EA2F2F">
      <w:pPr>
        <w:adjustRightInd w:val="0"/>
        <w:snapToGrid w:val="0"/>
        <w:spacing w:after="0" w:line="240" w:lineRule="auto"/>
        <w:ind w:firstLine="567"/>
        <w:jc w:val="both"/>
        <w:rPr>
          <w:rFonts w:ascii="Times New Roman" w:hAnsi="Times New Roman" w:cs="Times New Roman"/>
          <w:sz w:val="20"/>
          <w:szCs w:val="20"/>
        </w:rPr>
      </w:pPr>
      <w:r w:rsidRPr="00023A23">
        <w:rPr>
          <w:rFonts w:ascii="Times New Roman" w:hAnsi="Times New Roman" w:cs="Times New Roman"/>
          <w:sz w:val="20"/>
          <w:szCs w:val="20"/>
        </w:rPr>
        <w:t>Пропонований набір показників надає країнам відправну точку та інструмент для організації розроблення національних систем оцінки «зеленого» зростання. Проте він не є ні вичерпним, ні остаточним, а залишається досить гнучким для адаптації його до різних національних умов. Ураховуючи цю специфіку, оцінка</w:t>
      </w:r>
      <w:r w:rsidR="00EA2F2F">
        <w:rPr>
          <w:rFonts w:ascii="Times New Roman" w:hAnsi="Times New Roman" w:cs="Times New Roman"/>
          <w:sz w:val="20"/>
          <w:szCs w:val="20"/>
        </w:rPr>
        <w:t xml:space="preserve"> </w:t>
      </w:r>
      <w:r w:rsidRPr="00023A23">
        <w:rPr>
          <w:rFonts w:ascii="Times New Roman" w:hAnsi="Times New Roman" w:cs="Times New Roman"/>
          <w:sz w:val="20"/>
          <w:szCs w:val="20"/>
        </w:rPr>
        <w:t>«зеленого» зростання повинна відповідати національному контексту.</w:t>
      </w:r>
    </w:p>
    <w:p w14:paraId="3C421A72" w14:textId="4AE1A503" w:rsidR="00781FB5" w:rsidRPr="00023A23" w:rsidRDefault="00781FB5" w:rsidP="0012192B">
      <w:pPr>
        <w:adjustRightInd w:val="0"/>
        <w:snapToGrid w:val="0"/>
        <w:spacing w:after="0" w:line="240" w:lineRule="auto"/>
        <w:ind w:firstLine="567"/>
        <w:jc w:val="both"/>
        <w:rPr>
          <w:rFonts w:ascii="Times New Roman" w:hAnsi="Times New Roman" w:cs="Times New Roman"/>
          <w:sz w:val="20"/>
          <w:szCs w:val="20"/>
        </w:rPr>
      </w:pPr>
      <w:r w:rsidRPr="00023A23">
        <w:rPr>
          <w:rFonts w:ascii="Times New Roman" w:hAnsi="Times New Roman" w:cs="Times New Roman"/>
          <w:sz w:val="20"/>
          <w:szCs w:val="20"/>
        </w:rPr>
        <w:t>На національному рівні також необхідно узгодити та законодавчо затвердити систему індикаторів «зеленого» зростання з метою більш ефективного оцінювання прогресу реформ відповідно до глобальних викликів.</w:t>
      </w:r>
    </w:p>
    <w:p w14:paraId="1EAC0150" w14:textId="6A2CBE16" w:rsidR="00732FA2" w:rsidRPr="00C37F1C" w:rsidRDefault="00732FA2">
      <w:pPr>
        <w:rPr>
          <w:rFonts w:ascii="Times New Roman" w:hAnsi="Times New Roman" w:cs="Times New Roman"/>
          <w:sz w:val="16"/>
          <w:szCs w:val="16"/>
        </w:rPr>
      </w:pPr>
      <w:r w:rsidRPr="00C37F1C">
        <w:rPr>
          <w:rFonts w:ascii="Times New Roman" w:hAnsi="Times New Roman" w:cs="Times New Roman"/>
          <w:sz w:val="16"/>
          <w:szCs w:val="16"/>
        </w:rPr>
        <w:br w:type="page"/>
      </w:r>
    </w:p>
    <w:p w14:paraId="27B15236" w14:textId="77777777" w:rsidR="00071B2E" w:rsidRPr="00C37F1C" w:rsidRDefault="00071B2E" w:rsidP="00732FA2">
      <w:pPr>
        <w:jc w:val="center"/>
        <w:rPr>
          <w:rFonts w:ascii="Times New Roman" w:hAnsi="Times New Roman" w:cs="Times New Roman"/>
          <w:b/>
          <w:bCs/>
          <w:sz w:val="20"/>
          <w:szCs w:val="20"/>
        </w:rPr>
      </w:pPr>
      <w:r w:rsidRPr="00C37F1C">
        <w:rPr>
          <w:rFonts w:ascii="Times New Roman" w:hAnsi="Times New Roman" w:cs="Times New Roman"/>
          <w:b/>
          <w:bCs/>
          <w:sz w:val="20"/>
          <w:szCs w:val="20"/>
        </w:rPr>
        <w:lastRenderedPageBreak/>
        <w:t>Список рекомендованої літератури</w:t>
      </w:r>
    </w:p>
    <w:p w14:paraId="079BC8EC" w14:textId="183E1464" w:rsidR="00CC7E1D" w:rsidRPr="005047BD" w:rsidRDefault="00CC7E1D" w:rsidP="00732FA2">
      <w:pPr>
        <w:jc w:val="center"/>
        <w:rPr>
          <w:rFonts w:ascii="Times New Roman" w:hAnsi="Times New Roman" w:cs="Times New Roman"/>
          <w:b/>
          <w:bCs/>
          <w:i/>
          <w:iCs/>
          <w:sz w:val="20"/>
          <w:szCs w:val="20"/>
        </w:rPr>
      </w:pPr>
      <w:r w:rsidRPr="005047BD">
        <w:rPr>
          <w:rFonts w:ascii="Times New Roman" w:hAnsi="Times New Roman" w:cs="Times New Roman"/>
          <w:b/>
          <w:bCs/>
          <w:i/>
          <w:iCs/>
          <w:sz w:val="20"/>
          <w:szCs w:val="20"/>
        </w:rPr>
        <w:t>Базова</w:t>
      </w:r>
    </w:p>
    <w:p w14:paraId="7D4E5B7D" w14:textId="6DDD8550" w:rsidR="00CC7E1D" w:rsidRDefault="00CC7E1D" w:rsidP="006024FE">
      <w:pPr>
        <w:pStyle w:val="NormalWeb"/>
        <w:spacing w:before="0" w:beforeAutospacing="0" w:after="0" w:afterAutospacing="0"/>
        <w:jc w:val="both"/>
        <w:rPr>
          <w:sz w:val="20"/>
          <w:szCs w:val="20"/>
        </w:rPr>
      </w:pPr>
      <w:r>
        <w:rPr>
          <w:sz w:val="20"/>
          <w:szCs w:val="20"/>
        </w:rPr>
        <w:t xml:space="preserve">1. </w:t>
      </w:r>
      <w:r w:rsidRPr="00CC7E1D">
        <w:rPr>
          <w:sz w:val="20"/>
          <w:szCs w:val="20"/>
        </w:rPr>
        <w:t>Вдовенко Н. М. Наслідки впливу тіньової і поведінкової економіки на фінансову безпеку держави через фінансові інструменти сталого розвитку України/Н. М. Вдовенко, Ю. А. Перегуда // Академічні візії. -Львів, 2024, N 27</w:t>
      </w:r>
      <w:r w:rsidR="00874A0D">
        <w:rPr>
          <w:sz w:val="20"/>
          <w:szCs w:val="20"/>
        </w:rPr>
        <w:t>.</w:t>
      </w:r>
      <w:r w:rsidRPr="00CC7E1D">
        <w:rPr>
          <w:sz w:val="20"/>
          <w:szCs w:val="20"/>
        </w:rPr>
        <w:t xml:space="preserve"> </w:t>
      </w:r>
    </w:p>
    <w:p w14:paraId="37538FC6" w14:textId="665040DA" w:rsidR="00CC7E1D" w:rsidRPr="00CC7E1D" w:rsidRDefault="00CC7E1D" w:rsidP="006024FE">
      <w:pPr>
        <w:pStyle w:val="NormalWeb"/>
        <w:spacing w:before="0" w:beforeAutospacing="0" w:after="0" w:afterAutospacing="0"/>
        <w:jc w:val="both"/>
        <w:rPr>
          <w:sz w:val="20"/>
          <w:szCs w:val="20"/>
        </w:rPr>
      </w:pPr>
      <w:r>
        <w:rPr>
          <w:sz w:val="20"/>
          <w:szCs w:val="20"/>
        </w:rPr>
        <w:t xml:space="preserve">2. </w:t>
      </w:r>
      <w:r w:rsidRPr="00CC7E1D">
        <w:rPr>
          <w:sz w:val="20"/>
          <w:szCs w:val="20"/>
        </w:rPr>
        <w:t>Груба А. І. "Зелена економіка" як спільний об'єкт еколого-правового та господарсько-правового регулювання/А. І. Груба // Юридичний науковий електронний журнал. -Запоріжжя, 2024, N 11.-С.235-238</w:t>
      </w:r>
      <w:r w:rsidR="00874A0D">
        <w:rPr>
          <w:sz w:val="20"/>
          <w:szCs w:val="20"/>
        </w:rPr>
        <w:t>.</w:t>
      </w:r>
      <w:r w:rsidRPr="00CC7E1D">
        <w:rPr>
          <w:sz w:val="20"/>
          <w:szCs w:val="20"/>
        </w:rPr>
        <w:t xml:space="preserve"> </w:t>
      </w:r>
    </w:p>
    <w:p w14:paraId="1BBF7134" w14:textId="7693CEA1" w:rsidR="00CC7E1D" w:rsidRPr="00CC7E1D" w:rsidRDefault="00CC7E1D" w:rsidP="006024FE">
      <w:pPr>
        <w:pStyle w:val="NormalWeb"/>
        <w:spacing w:before="0" w:beforeAutospacing="0" w:after="0" w:afterAutospacing="0"/>
        <w:jc w:val="both"/>
        <w:rPr>
          <w:sz w:val="20"/>
          <w:szCs w:val="20"/>
        </w:rPr>
      </w:pPr>
      <w:r>
        <w:rPr>
          <w:sz w:val="20"/>
          <w:szCs w:val="20"/>
        </w:rPr>
        <w:t xml:space="preserve">3. </w:t>
      </w:r>
      <w:r w:rsidRPr="00CC7E1D">
        <w:rPr>
          <w:sz w:val="20"/>
          <w:szCs w:val="20"/>
        </w:rPr>
        <w:t xml:space="preserve">Екологічне право/А. П. Гетьман [та ін.]; ред. А. П. Гетьман. </w:t>
      </w:r>
      <w:r w:rsidR="00874A0D">
        <w:rPr>
          <w:sz w:val="20"/>
          <w:szCs w:val="20"/>
        </w:rPr>
        <w:t>–</w:t>
      </w:r>
      <w:r w:rsidRPr="00CC7E1D">
        <w:rPr>
          <w:sz w:val="20"/>
          <w:szCs w:val="20"/>
        </w:rPr>
        <w:t xml:space="preserve"> 2024</w:t>
      </w:r>
      <w:r w:rsidR="00874A0D">
        <w:rPr>
          <w:sz w:val="20"/>
          <w:szCs w:val="20"/>
        </w:rPr>
        <w:t>.</w:t>
      </w:r>
      <w:r w:rsidRPr="00CC7E1D">
        <w:rPr>
          <w:sz w:val="20"/>
          <w:szCs w:val="20"/>
        </w:rPr>
        <w:t xml:space="preserve"> </w:t>
      </w:r>
    </w:p>
    <w:p w14:paraId="1A669C4E" w14:textId="65E591B4" w:rsidR="00CC7E1D" w:rsidRPr="00CC7E1D" w:rsidRDefault="00470EF5" w:rsidP="006024FE">
      <w:pPr>
        <w:pStyle w:val="NormalWeb"/>
        <w:spacing w:before="0" w:beforeAutospacing="0" w:after="0" w:afterAutospacing="0"/>
        <w:jc w:val="both"/>
        <w:rPr>
          <w:sz w:val="20"/>
          <w:szCs w:val="20"/>
        </w:rPr>
      </w:pPr>
      <w:r>
        <w:rPr>
          <w:sz w:val="20"/>
          <w:szCs w:val="20"/>
        </w:rPr>
        <w:t xml:space="preserve">4. </w:t>
      </w:r>
      <w:r w:rsidR="00CC7E1D" w:rsidRPr="00CC7E1D">
        <w:rPr>
          <w:sz w:val="20"/>
          <w:szCs w:val="20"/>
        </w:rPr>
        <w:t>Кириленко О. М. Інвайронменталізм як концептуальна основа переходу до сталого зеленого майбутнього/О. М. Кириленко // Часопис Київського університету права. -Київ, 2024, N 3.-С.32-39</w:t>
      </w:r>
      <w:r w:rsidR="00874A0D">
        <w:rPr>
          <w:sz w:val="20"/>
          <w:szCs w:val="20"/>
        </w:rPr>
        <w:t>.</w:t>
      </w:r>
    </w:p>
    <w:p w14:paraId="6D870997" w14:textId="3313913D" w:rsidR="00CC7E1D" w:rsidRPr="00CC7E1D" w:rsidRDefault="00470EF5" w:rsidP="006024FE">
      <w:pPr>
        <w:pStyle w:val="NormalWeb"/>
        <w:spacing w:before="0" w:beforeAutospacing="0" w:after="0" w:afterAutospacing="0"/>
        <w:jc w:val="both"/>
        <w:rPr>
          <w:sz w:val="20"/>
          <w:szCs w:val="20"/>
        </w:rPr>
      </w:pPr>
      <w:r>
        <w:rPr>
          <w:sz w:val="20"/>
          <w:szCs w:val="20"/>
        </w:rPr>
        <w:t>5</w:t>
      </w:r>
      <w:r w:rsidR="00CC7E1D">
        <w:rPr>
          <w:sz w:val="20"/>
          <w:szCs w:val="20"/>
        </w:rPr>
        <w:t xml:space="preserve">. </w:t>
      </w:r>
      <w:r w:rsidR="00CC7E1D" w:rsidRPr="00CC7E1D">
        <w:rPr>
          <w:sz w:val="20"/>
          <w:szCs w:val="20"/>
        </w:rPr>
        <w:t>Коваленко В. В. Державна політика сталого розвитку на засадах "зеленої економіки"/В. В. Коваленко // Аналітично-порівняльне правознавство. -Ужгород, 2024, N 5.-С.514-519</w:t>
      </w:r>
      <w:r w:rsidR="00874A0D">
        <w:rPr>
          <w:sz w:val="20"/>
          <w:szCs w:val="20"/>
        </w:rPr>
        <w:t>.</w:t>
      </w:r>
      <w:r w:rsidR="00CC7E1D" w:rsidRPr="00CC7E1D">
        <w:rPr>
          <w:sz w:val="20"/>
          <w:szCs w:val="20"/>
        </w:rPr>
        <w:t xml:space="preserve"> </w:t>
      </w:r>
    </w:p>
    <w:p w14:paraId="7087DAF7" w14:textId="10B7ABC0" w:rsidR="00CC7E1D" w:rsidRPr="00CC7E1D" w:rsidRDefault="00470EF5" w:rsidP="006024FE">
      <w:pPr>
        <w:pStyle w:val="NormalWeb"/>
        <w:spacing w:before="0" w:beforeAutospacing="0" w:after="0" w:afterAutospacing="0"/>
        <w:jc w:val="both"/>
        <w:rPr>
          <w:sz w:val="20"/>
          <w:szCs w:val="20"/>
        </w:rPr>
      </w:pPr>
      <w:r>
        <w:rPr>
          <w:sz w:val="20"/>
          <w:szCs w:val="20"/>
        </w:rPr>
        <w:t>6</w:t>
      </w:r>
      <w:r w:rsidR="00CC7E1D">
        <w:rPr>
          <w:sz w:val="20"/>
          <w:szCs w:val="20"/>
        </w:rPr>
        <w:t xml:space="preserve">. </w:t>
      </w:r>
      <w:r w:rsidR="00CC7E1D" w:rsidRPr="00CC7E1D">
        <w:rPr>
          <w:sz w:val="20"/>
          <w:szCs w:val="20"/>
        </w:rPr>
        <w:t>Латинін М. А. Удосконалення економічного механізму реалізації державної політики сталого розвитку "зеленої" економіки в Україні/М. А. Латинін, Ю. А. Біловіцька // Публічне управління XXI століття: особливості воєнного і післявоєнного періодів. -</w:t>
      </w:r>
      <w:r w:rsidR="00D61102">
        <w:rPr>
          <w:sz w:val="20"/>
          <w:szCs w:val="20"/>
        </w:rPr>
        <w:t xml:space="preserve"> </w:t>
      </w:r>
      <w:r w:rsidR="00CC7E1D" w:rsidRPr="00CC7E1D">
        <w:rPr>
          <w:sz w:val="20"/>
          <w:szCs w:val="20"/>
        </w:rPr>
        <w:t>Харків:</w:t>
      </w:r>
      <w:r w:rsidR="00D61102">
        <w:rPr>
          <w:sz w:val="20"/>
          <w:szCs w:val="20"/>
        </w:rPr>
        <w:t xml:space="preserve"> </w:t>
      </w:r>
      <w:r w:rsidR="00CC7E1D" w:rsidRPr="00CC7E1D">
        <w:rPr>
          <w:sz w:val="20"/>
          <w:szCs w:val="20"/>
        </w:rPr>
        <w:t>ХНУ ім. В. Н. Каразіна, 2023.-С.446-450</w:t>
      </w:r>
      <w:r w:rsidR="00874A0D">
        <w:rPr>
          <w:sz w:val="20"/>
          <w:szCs w:val="20"/>
        </w:rPr>
        <w:t>.</w:t>
      </w:r>
      <w:r w:rsidR="00CC7E1D" w:rsidRPr="00CC7E1D">
        <w:rPr>
          <w:sz w:val="20"/>
          <w:szCs w:val="20"/>
        </w:rPr>
        <w:t xml:space="preserve"> </w:t>
      </w:r>
    </w:p>
    <w:p w14:paraId="362C83AA" w14:textId="7308F2C7" w:rsidR="00CC7E1D" w:rsidRDefault="00470EF5" w:rsidP="006024FE">
      <w:pPr>
        <w:pStyle w:val="NormalWeb"/>
        <w:spacing w:before="0" w:beforeAutospacing="0" w:after="0" w:afterAutospacing="0"/>
        <w:jc w:val="both"/>
        <w:rPr>
          <w:sz w:val="20"/>
          <w:szCs w:val="20"/>
        </w:rPr>
      </w:pPr>
      <w:r>
        <w:rPr>
          <w:sz w:val="20"/>
          <w:szCs w:val="20"/>
        </w:rPr>
        <w:t>7</w:t>
      </w:r>
      <w:r w:rsidR="00CC7E1D">
        <w:rPr>
          <w:sz w:val="20"/>
          <w:szCs w:val="20"/>
        </w:rPr>
        <w:t xml:space="preserve">. </w:t>
      </w:r>
      <w:r w:rsidR="00CC7E1D" w:rsidRPr="00CC7E1D">
        <w:rPr>
          <w:sz w:val="20"/>
          <w:szCs w:val="20"/>
        </w:rPr>
        <w:t>Лозо О. В. Новели законодавства ЄС щодо зеленої економіки та перспективи його впровадження/О. В. Лозо, А. І. Ялі // Юридичний науковий електронний журнал. -Запоріжжя, 2024, N 11.-С.250-253</w:t>
      </w:r>
      <w:r w:rsidR="00874A0D">
        <w:rPr>
          <w:sz w:val="20"/>
          <w:szCs w:val="20"/>
        </w:rPr>
        <w:t>.</w:t>
      </w:r>
    </w:p>
    <w:p w14:paraId="26E83257" w14:textId="4E5F3355" w:rsidR="00CC7E1D" w:rsidRPr="00CC7E1D" w:rsidRDefault="00470EF5" w:rsidP="006024FE">
      <w:pPr>
        <w:pStyle w:val="NormalWeb"/>
        <w:spacing w:before="0" w:beforeAutospacing="0" w:after="0" w:afterAutospacing="0"/>
        <w:jc w:val="both"/>
        <w:rPr>
          <w:sz w:val="20"/>
          <w:szCs w:val="20"/>
        </w:rPr>
      </w:pPr>
      <w:r>
        <w:rPr>
          <w:sz w:val="20"/>
          <w:szCs w:val="20"/>
        </w:rPr>
        <w:t xml:space="preserve">8. </w:t>
      </w:r>
      <w:r w:rsidR="00CC7E1D" w:rsidRPr="00CC7E1D">
        <w:rPr>
          <w:sz w:val="20"/>
          <w:szCs w:val="20"/>
        </w:rPr>
        <w:t>Охріменко І. В. "Зелена" економіка України: можливості для інвесторів та вплив на розвиток країни/І. В. Охріменко, А. О. Сабадаш, Мухін // Міжнародний науковий журнал "Інтернаука", 2024, N 2 (157)</w:t>
      </w:r>
      <w:r w:rsidR="00874A0D">
        <w:rPr>
          <w:sz w:val="20"/>
          <w:szCs w:val="20"/>
        </w:rPr>
        <w:t>.</w:t>
      </w:r>
    </w:p>
    <w:p w14:paraId="34DFE9C8" w14:textId="35412AD5" w:rsidR="00CC7E1D" w:rsidRPr="00CC7E1D" w:rsidRDefault="006024FE" w:rsidP="006024FE">
      <w:pPr>
        <w:pStyle w:val="NormalWeb"/>
        <w:spacing w:before="0" w:beforeAutospacing="0" w:after="0" w:afterAutospacing="0"/>
        <w:jc w:val="both"/>
        <w:rPr>
          <w:sz w:val="20"/>
          <w:szCs w:val="20"/>
        </w:rPr>
      </w:pPr>
      <w:r>
        <w:rPr>
          <w:sz w:val="20"/>
          <w:szCs w:val="20"/>
        </w:rPr>
        <w:t>9</w:t>
      </w:r>
      <w:r w:rsidR="00CC7E1D">
        <w:rPr>
          <w:sz w:val="20"/>
          <w:szCs w:val="20"/>
        </w:rPr>
        <w:t xml:space="preserve">. </w:t>
      </w:r>
      <w:r w:rsidR="00CC7E1D" w:rsidRPr="00CC7E1D">
        <w:rPr>
          <w:sz w:val="20"/>
          <w:szCs w:val="20"/>
        </w:rPr>
        <w:t>Подойніцин О. В. Показники державного фінансового стимулювання екологічних проєктів/О. В. Подойніцин, Н. В. Рудик // Економіка та суспільство, 2025, N 72</w:t>
      </w:r>
      <w:r w:rsidR="00874A0D">
        <w:rPr>
          <w:sz w:val="20"/>
          <w:szCs w:val="20"/>
        </w:rPr>
        <w:t>.</w:t>
      </w:r>
      <w:r w:rsidR="00CC7E1D" w:rsidRPr="00CC7E1D">
        <w:rPr>
          <w:sz w:val="20"/>
          <w:szCs w:val="20"/>
        </w:rPr>
        <w:t xml:space="preserve"> </w:t>
      </w:r>
    </w:p>
    <w:p w14:paraId="0D185DA6" w14:textId="2014F6E3" w:rsidR="00CC7E1D" w:rsidRPr="00CC7E1D" w:rsidRDefault="006024FE" w:rsidP="006024FE">
      <w:pPr>
        <w:pStyle w:val="NormalWeb"/>
        <w:spacing w:before="0" w:beforeAutospacing="0" w:after="0" w:afterAutospacing="0"/>
        <w:jc w:val="both"/>
        <w:rPr>
          <w:sz w:val="20"/>
          <w:szCs w:val="20"/>
        </w:rPr>
      </w:pPr>
      <w:r>
        <w:rPr>
          <w:sz w:val="20"/>
          <w:szCs w:val="20"/>
        </w:rPr>
        <w:t>10</w:t>
      </w:r>
      <w:r w:rsidR="00CC7E1D">
        <w:rPr>
          <w:sz w:val="20"/>
          <w:szCs w:val="20"/>
        </w:rPr>
        <w:t xml:space="preserve">. </w:t>
      </w:r>
      <w:r w:rsidR="00CC7E1D" w:rsidRPr="00CC7E1D">
        <w:rPr>
          <w:sz w:val="20"/>
          <w:szCs w:val="20"/>
        </w:rPr>
        <w:t>Сологуб А. М. Правове стимулювання використання альтернативних джерел енергії: досвід Європейського Союзу/А. М. Сологуб // Юридичний науковий електронний журнал. -Запоріжжя, 2025, N 8.-С.114-118</w:t>
      </w:r>
      <w:r w:rsidR="00874A0D">
        <w:rPr>
          <w:sz w:val="20"/>
          <w:szCs w:val="20"/>
        </w:rPr>
        <w:t>.</w:t>
      </w:r>
      <w:r w:rsidR="00CC7E1D" w:rsidRPr="00CC7E1D">
        <w:rPr>
          <w:sz w:val="20"/>
          <w:szCs w:val="20"/>
        </w:rPr>
        <w:t xml:space="preserve"> </w:t>
      </w:r>
    </w:p>
    <w:p w14:paraId="7ACD616C" w14:textId="0C7E8C6A" w:rsidR="00CC7E1D" w:rsidRPr="00CC7E1D" w:rsidRDefault="006024FE" w:rsidP="006024FE">
      <w:pPr>
        <w:pStyle w:val="NormalWeb"/>
        <w:spacing w:before="0" w:beforeAutospacing="0" w:after="0" w:afterAutospacing="0"/>
        <w:jc w:val="both"/>
        <w:rPr>
          <w:sz w:val="20"/>
          <w:szCs w:val="20"/>
        </w:rPr>
      </w:pPr>
      <w:r>
        <w:rPr>
          <w:sz w:val="20"/>
          <w:szCs w:val="20"/>
        </w:rPr>
        <w:t>11</w:t>
      </w:r>
      <w:r w:rsidR="00CC7E1D">
        <w:rPr>
          <w:sz w:val="20"/>
          <w:szCs w:val="20"/>
        </w:rPr>
        <w:t xml:space="preserve">. </w:t>
      </w:r>
      <w:r w:rsidR="00CC7E1D" w:rsidRPr="00CC7E1D">
        <w:rPr>
          <w:sz w:val="20"/>
          <w:szCs w:val="20"/>
        </w:rPr>
        <w:t>Темпорально-ретроспективний аналіз розвитку комунального сектора та використання енергетики в ньому/Н. О. Черненко, Я. І. Глущенко, О. О. Корогодова // Академічний огляд. -Дніпро, 2022, N 2.-С.233-248</w:t>
      </w:r>
      <w:r w:rsidR="00874A0D">
        <w:rPr>
          <w:sz w:val="20"/>
          <w:szCs w:val="20"/>
        </w:rPr>
        <w:t>.</w:t>
      </w:r>
    </w:p>
    <w:p w14:paraId="341F6E50" w14:textId="59714B80" w:rsidR="00CC7E1D" w:rsidRPr="00CC7E1D" w:rsidRDefault="00CC7E1D" w:rsidP="006024FE">
      <w:pPr>
        <w:pStyle w:val="NormalWeb"/>
        <w:spacing w:before="0" w:beforeAutospacing="0" w:after="0" w:afterAutospacing="0"/>
        <w:jc w:val="both"/>
        <w:rPr>
          <w:sz w:val="20"/>
          <w:szCs w:val="20"/>
        </w:rPr>
      </w:pPr>
      <w:r>
        <w:rPr>
          <w:sz w:val="20"/>
          <w:szCs w:val="20"/>
        </w:rPr>
        <w:t>1</w:t>
      </w:r>
      <w:r w:rsidR="006024FE">
        <w:rPr>
          <w:sz w:val="20"/>
          <w:szCs w:val="20"/>
        </w:rPr>
        <w:t>2</w:t>
      </w:r>
      <w:r>
        <w:rPr>
          <w:sz w:val="20"/>
          <w:szCs w:val="20"/>
        </w:rPr>
        <w:t xml:space="preserve">. </w:t>
      </w:r>
      <w:r w:rsidRPr="00CC7E1D">
        <w:rPr>
          <w:sz w:val="20"/>
          <w:szCs w:val="20"/>
        </w:rPr>
        <w:t>Трубчанінова А. С. Екологічні інновації в системі зеленої економіки (правовий аспект)/А. С. Трубчанінова, О. В. Лозо // Екологічне право. -Київ:Гельветика, 2022, N 3/4.-С.80-85</w:t>
      </w:r>
      <w:r w:rsidR="00874A0D">
        <w:rPr>
          <w:sz w:val="20"/>
          <w:szCs w:val="20"/>
        </w:rPr>
        <w:t>.</w:t>
      </w:r>
    </w:p>
    <w:p w14:paraId="34D7B321" w14:textId="2ABB3720" w:rsidR="00CC7E1D" w:rsidRPr="00CC7E1D" w:rsidRDefault="006024FE" w:rsidP="006024FE">
      <w:pPr>
        <w:pStyle w:val="NormalWeb"/>
        <w:spacing w:before="0" w:beforeAutospacing="0" w:after="0" w:afterAutospacing="0"/>
        <w:jc w:val="both"/>
        <w:rPr>
          <w:sz w:val="20"/>
          <w:szCs w:val="20"/>
        </w:rPr>
      </w:pPr>
      <w:r>
        <w:rPr>
          <w:sz w:val="20"/>
          <w:szCs w:val="20"/>
        </w:rPr>
        <w:t xml:space="preserve">13. </w:t>
      </w:r>
      <w:r w:rsidR="00CC7E1D" w:rsidRPr="00CC7E1D">
        <w:rPr>
          <w:sz w:val="20"/>
          <w:szCs w:val="20"/>
        </w:rPr>
        <w:t>Чавостін Д. А. Інституційні механізми забезпечення "зеленого" зростання енергетичного сектору України/Д. А. Чавостін // Аналітично-порівняльне правознавство. -Ужгород, 2025,</w:t>
      </w:r>
      <w:r w:rsidR="00D61102">
        <w:rPr>
          <w:sz w:val="20"/>
          <w:szCs w:val="20"/>
        </w:rPr>
        <w:t xml:space="preserve"> </w:t>
      </w:r>
      <w:r w:rsidR="00CC7E1D" w:rsidRPr="00CC7E1D">
        <w:rPr>
          <w:sz w:val="20"/>
          <w:szCs w:val="20"/>
        </w:rPr>
        <w:t>N 2.-С.390-394</w:t>
      </w:r>
      <w:r w:rsidR="00874A0D">
        <w:rPr>
          <w:sz w:val="20"/>
          <w:szCs w:val="20"/>
        </w:rPr>
        <w:t>.</w:t>
      </w:r>
    </w:p>
    <w:p w14:paraId="2651C09E" w14:textId="77777777" w:rsidR="00CC7E1D" w:rsidRDefault="00CC7E1D" w:rsidP="00732FA2">
      <w:pPr>
        <w:jc w:val="center"/>
        <w:rPr>
          <w:rFonts w:ascii="Times New Roman" w:hAnsi="Times New Roman" w:cs="Times New Roman"/>
          <w:b/>
          <w:bCs/>
          <w:sz w:val="20"/>
          <w:szCs w:val="20"/>
        </w:rPr>
      </w:pPr>
    </w:p>
    <w:p w14:paraId="6E0076AE" w14:textId="3EB41FFC" w:rsidR="002D040B" w:rsidRPr="005047BD" w:rsidRDefault="00E06906" w:rsidP="00732FA2">
      <w:pPr>
        <w:jc w:val="center"/>
        <w:rPr>
          <w:rFonts w:ascii="Times New Roman" w:hAnsi="Times New Roman" w:cs="Times New Roman"/>
          <w:b/>
          <w:bCs/>
          <w:i/>
          <w:iCs/>
          <w:sz w:val="20"/>
          <w:szCs w:val="20"/>
        </w:rPr>
      </w:pPr>
      <w:r w:rsidRPr="005047BD">
        <w:rPr>
          <w:rFonts w:ascii="Times New Roman" w:hAnsi="Times New Roman" w:cs="Times New Roman"/>
          <w:b/>
          <w:bCs/>
          <w:i/>
          <w:iCs/>
          <w:sz w:val="20"/>
          <w:szCs w:val="20"/>
        </w:rPr>
        <w:lastRenderedPageBreak/>
        <w:t>Додаткова</w:t>
      </w:r>
    </w:p>
    <w:p w14:paraId="54EDCB59" w14:textId="6B712E85" w:rsidR="00A64B64" w:rsidRDefault="00A64B64" w:rsidP="00A64B64">
      <w:pPr>
        <w:adjustRightInd w:val="0"/>
        <w:snapToGrid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w:t>
      </w:r>
      <w:r w:rsidR="00D975C2">
        <w:rPr>
          <w:rFonts w:ascii="Times New Roman" w:eastAsia="Times New Roman" w:hAnsi="Times New Roman" w:cs="Times New Roman"/>
          <w:sz w:val="20"/>
          <w:szCs w:val="20"/>
        </w:rPr>
        <w:t>4</w:t>
      </w:r>
      <w:r>
        <w:rPr>
          <w:rFonts w:ascii="Times New Roman" w:eastAsia="Times New Roman" w:hAnsi="Times New Roman" w:cs="Times New Roman"/>
          <w:sz w:val="20"/>
          <w:szCs w:val="20"/>
        </w:rPr>
        <w:t xml:space="preserve">. </w:t>
      </w:r>
      <w:r w:rsidRPr="00A64B64">
        <w:rPr>
          <w:rFonts w:ascii="Times New Roman" w:eastAsia="Times New Roman" w:hAnsi="Times New Roman" w:cs="Times New Roman"/>
          <w:sz w:val="20"/>
          <w:szCs w:val="20"/>
        </w:rPr>
        <w:t>Бондаренко Д. В. Енергетична незалежність України: роль зеленої енергетики та європейського законодавства/Д. В. Бондаренко, А. С. Ручко, М. С. Савчук // Економіка, фінанси, право. -Київ, 2024, № 11.-С.80-84</w:t>
      </w:r>
      <w:r w:rsidR="00E9214E">
        <w:rPr>
          <w:rFonts w:ascii="Times New Roman" w:eastAsia="Times New Roman" w:hAnsi="Times New Roman" w:cs="Times New Roman"/>
          <w:sz w:val="20"/>
          <w:szCs w:val="20"/>
        </w:rPr>
        <w:t>.</w:t>
      </w:r>
    </w:p>
    <w:p w14:paraId="5C6ECD73" w14:textId="0DAC1010" w:rsidR="00A64B64" w:rsidRPr="00A64B64" w:rsidRDefault="00D975C2" w:rsidP="00A64B64">
      <w:pPr>
        <w:adjustRightInd w:val="0"/>
        <w:snapToGrid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15</w:t>
      </w:r>
      <w:r w:rsidR="00A64B64">
        <w:rPr>
          <w:rFonts w:ascii="Times New Roman" w:eastAsia="Times New Roman" w:hAnsi="Times New Roman" w:cs="Times New Roman"/>
          <w:sz w:val="20"/>
          <w:szCs w:val="20"/>
        </w:rPr>
        <w:t xml:space="preserve">. </w:t>
      </w:r>
      <w:r w:rsidR="00A64B64" w:rsidRPr="00A64B64">
        <w:rPr>
          <w:rFonts w:ascii="Times New Roman" w:eastAsia="Times New Roman" w:hAnsi="Times New Roman" w:cs="Times New Roman"/>
          <w:sz w:val="20"/>
          <w:szCs w:val="20"/>
        </w:rPr>
        <w:t>Гринько Т. В. Розвиток інноваційних бізнес-структур у цифровому суспільстві/Т. В. Гринько, Т. В. Гільорме // Економіка, фінанси, право. -Київ, 2024, № 10.-С.47-50</w:t>
      </w:r>
      <w:r w:rsidR="00E9214E">
        <w:rPr>
          <w:rFonts w:ascii="Times New Roman" w:eastAsia="Times New Roman" w:hAnsi="Times New Roman" w:cs="Times New Roman"/>
          <w:sz w:val="20"/>
          <w:szCs w:val="20"/>
        </w:rPr>
        <w:t>.</w:t>
      </w:r>
    </w:p>
    <w:p w14:paraId="42A7A14E" w14:textId="77777777" w:rsidR="000A3812" w:rsidRDefault="00D975C2" w:rsidP="00A64B64">
      <w:pPr>
        <w:adjustRightInd w:val="0"/>
        <w:snapToGrid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16</w:t>
      </w:r>
      <w:r w:rsidR="00A64B64">
        <w:rPr>
          <w:rFonts w:ascii="Times New Roman" w:eastAsia="Times New Roman" w:hAnsi="Times New Roman" w:cs="Times New Roman"/>
          <w:sz w:val="20"/>
          <w:szCs w:val="20"/>
        </w:rPr>
        <w:t xml:space="preserve">. </w:t>
      </w:r>
      <w:r w:rsidR="00A64B64" w:rsidRPr="00A64B64">
        <w:rPr>
          <w:rFonts w:ascii="Times New Roman" w:eastAsia="Times New Roman" w:hAnsi="Times New Roman" w:cs="Times New Roman"/>
          <w:sz w:val="20"/>
          <w:szCs w:val="20"/>
        </w:rPr>
        <w:t>Диба М. І. ESG-інвестиції для розбудови блакитної економіки в Україні/М. І. Диба, Ю. О. Гернего, О. Диба // Фінанси України. -К., 2025, № 9.-</w:t>
      </w:r>
      <w:r w:rsidR="00E9214E">
        <w:rPr>
          <w:rFonts w:ascii="Times New Roman" w:eastAsia="Times New Roman" w:hAnsi="Times New Roman" w:cs="Times New Roman"/>
          <w:sz w:val="20"/>
          <w:szCs w:val="20"/>
        </w:rPr>
        <w:t xml:space="preserve"> </w:t>
      </w:r>
      <w:r w:rsidR="00A64B64" w:rsidRPr="00A64B64">
        <w:rPr>
          <w:rFonts w:ascii="Times New Roman" w:eastAsia="Times New Roman" w:hAnsi="Times New Roman" w:cs="Times New Roman"/>
          <w:sz w:val="20"/>
          <w:szCs w:val="20"/>
        </w:rPr>
        <w:t>С.30-47</w:t>
      </w:r>
      <w:r w:rsidR="00E9214E">
        <w:rPr>
          <w:rFonts w:ascii="Times New Roman" w:eastAsia="Times New Roman" w:hAnsi="Times New Roman" w:cs="Times New Roman"/>
          <w:sz w:val="20"/>
          <w:szCs w:val="20"/>
        </w:rPr>
        <w:t>.</w:t>
      </w:r>
    </w:p>
    <w:p w14:paraId="21CC8FF8" w14:textId="3672B2AA" w:rsidR="00A64B64" w:rsidRPr="00A64B64" w:rsidRDefault="000A3812" w:rsidP="00A64B64">
      <w:pPr>
        <w:adjustRightInd w:val="0"/>
        <w:snapToGrid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17</w:t>
      </w:r>
      <w:r w:rsidRPr="000A3812">
        <w:rPr>
          <w:rFonts w:ascii="Times New Roman" w:eastAsia="Times New Roman" w:hAnsi="Times New Roman" w:cs="Times New Roman"/>
          <w:sz w:val="20"/>
          <w:szCs w:val="20"/>
        </w:rPr>
        <w:t>. Економіка та управління персоналом: магістерський курс : навчальний посібник / О. М. Шубалий, Н. Т. Рудь, М. І. Дзямулич, О. А. Нужна, А. І. Гордійчук, І. В. Шубала, П.М. Косінський, О. А. Хілуха; за заг. ред. О. М. Шубалого. Луцьк : Надстир’я, 2024. 344 с</w:t>
      </w:r>
      <w:r>
        <w:rPr>
          <w:rFonts w:ascii="Times New Roman" w:eastAsia="Times New Roman" w:hAnsi="Times New Roman" w:cs="Times New Roman"/>
          <w:sz w:val="20"/>
          <w:szCs w:val="20"/>
        </w:rPr>
        <w:t>.</w:t>
      </w:r>
      <w:r w:rsidR="00A64B64" w:rsidRPr="00A64B64">
        <w:rPr>
          <w:rFonts w:ascii="Times New Roman" w:eastAsia="Times New Roman" w:hAnsi="Times New Roman" w:cs="Times New Roman"/>
          <w:sz w:val="20"/>
          <w:szCs w:val="20"/>
        </w:rPr>
        <w:t xml:space="preserve"> </w:t>
      </w:r>
    </w:p>
    <w:p w14:paraId="3FBBD2BE" w14:textId="082BAC86" w:rsidR="00A64B64" w:rsidRPr="00A64B64" w:rsidRDefault="00D975C2" w:rsidP="00A64B64">
      <w:pPr>
        <w:adjustRightInd w:val="0"/>
        <w:snapToGrid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w:t>
      </w:r>
      <w:r w:rsidR="00B96F16">
        <w:rPr>
          <w:rFonts w:ascii="Times New Roman" w:eastAsia="Times New Roman" w:hAnsi="Times New Roman" w:cs="Times New Roman"/>
          <w:sz w:val="20"/>
          <w:szCs w:val="20"/>
        </w:rPr>
        <w:t>8</w:t>
      </w:r>
      <w:r w:rsidR="00A64B64">
        <w:rPr>
          <w:rFonts w:ascii="Times New Roman" w:eastAsia="Times New Roman" w:hAnsi="Times New Roman" w:cs="Times New Roman"/>
          <w:sz w:val="20"/>
          <w:szCs w:val="20"/>
        </w:rPr>
        <w:t xml:space="preserve">. </w:t>
      </w:r>
      <w:r w:rsidR="00A64B64" w:rsidRPr="00A64B64">
        <w:rPr>
          <w:rFonts w:ascii="Times New Roman" w:eastAsia="Times New Roman" w:hAnsi="Times New Roman" w:cs="Times New Roman"/>
          <w:sz w:val="20"/>
          <w:szCs w:val="20"/>
        </w:rPr>
        <w:t xml:space="preserve">Жибак М. Сільський зелений туризм як інноваційна форма підприємництва/М. Жибак, Г. Христенко // АгроСвіт . -Київ, 2021, № 3.-С.3-9 </w:t>
      </w:r>
    </w:p>
    <w:p w14:paraId="23909EF6" w14:textId="1AE17650" w:rsidR="00A64B64" w:rsidRPr="00A64B64" w:rsidRDefault="00A64B64" w:rsidP="00A64B64">
      <w:pPr>
        <w:adjustRightInd w:val="0"/>
        <w:snapToGrid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5. </w:t>
      </w:r>
      <w:r w:rsidRPr="00A64B64">
        <w:rPr>
          <w:rFonts w:ascii="Times New Roman" w:eastAsia="Times New Roman" w:hAnsi="Times New Roman" w:cs="Times New Roman"/>
          <w:sz w:val="20"/>
          <w:szCs w:val="20"/>
        </w:rPr>
        <w:t>Красовська О. Менеджмент "зелених" інвестицій в умовах нової глобальної архітектоніки/О. Красовська // Економіка, фінанси, право. -Київ, 2023, № 12.-С.73-76</w:t>
      </w:r>
      <w:r w:rsidR="00E9214E">
        <w:rPr>
          <w:rFonts w:ascii="Times New Roman" w:eastAsia="Times New Roman" w:hAnsi="Times New Roman" w:cs="Times New Roman"/>
          <w:sz w:val="20"/>
          <w:szCs w:val="20"/>
        </w:rPr>
        <w:t>.</w:t>
      </w:r>
    </w:p>
    <w:p w14:paraId="7E2F1855" w14:textId="50647F08" w:rsidR="00A64B64" w:rsidRPr="00A64B64" w:rsidRDefault="00D975C2" w:rsidP="00A64B64">
      <w:pPr>
        <w:adjustRightInd w:val="0"/>
        <w:snapToGrid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w:t>
      </w:r>
      <w:r w:rsidR="00B96F16">
        <w:rPr>
          <w:rFonts w:ascii="Times New Roman" w:eastAsia="Times New Roman" w:hAnsi="Times New Roman" w:cs="Times New Roman"/>
          <w:sz w:val="20"/>
          <w:szCs w:val="20"/>
        </w:rPr>
        <w:t>9</w:t>
      </w:r>
      <w:r w:rsidR="00A64B64">
        <w:rPr>
          <w:rFonts w:ascii="Times New Roman" w:eastAsia="Times New Roman" w:hAnsi="Times New Roman" w:cs="Times New Roman"/>
          <w:sz w:val="20"/>
          <w:szCs w:val="20"/>
        </w:rPr>
        <w:t xml:space="preserve">. </w:t>
      </w:r>
      <w:r w:rsidR="00A64B64" w:rsidRPr="00A64B64">
        <w:rPr>
          <w:rFonts w:ascii="Times New Roman" w:eastAsia="Times New Roman" w:hAnsi="Times New Roman" w:cs="Times New Roman"/>
          <w:sz w:val="20"/>
          <w:szCs w:val="20"/>
        </w:rPr>
        <w:t>Кучерява М. В. Запровадження циркулярної зеленої економіки в контексті досягнення цілей сталого розвитку та забезпечення економічної безпеки держави: огляд сучаних концепцій/М. В. Кучерява, Є. В. Бичихін // Фінанси України. -К., 2024, № 10.-С.86-106</w:t>
      </w:r>
      <w:r w:rsidR="00E9214E">
        <w:rPr>
          <w:rFonts w:ascii="Times New Roman" w:eastAsia="Times New Roman" w:hAnsi="Times New Roman" w:cs="Times New Roman"/>
          <w:sz w:val="20"/>
          <w:szCs w:val="20"/>
        </w:rPr>
        <w:t>.</w:t>
      </w:r>
    </w:p>
    <w:p w14:paraId="6FC57454" w14:textId="34E0E24B" w:rsidR="00A64B64" w:rsidRPr="00A64B64" w:rsidRDefault="00B96F16" w:rsidP="00A64B64">
      <w:pPr>
        <w:adjustRightInd w:val="0"/>
        <w:snapToGrid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r w:rsidR="00E9214E">
        <w:rPr>
          <w:rFonts w:ascii="Times New Roman" w:eastAsia="Times New Roman" w:hAnsi="Times New Roman" w:cs="Times New Roman"/>
          <w:sz w:val="20"/>
          <w:szCs w:val="20"/>
        </w:rPr>
        <w:t xml:space="preserve">. </w:t>
      </w:r>
      <w:r w:rsidR="00A64B64" w:rsidRPr="00A64B64">
        <w:rPr>
          <w:rFonts w:ascii="Times New Roman" w:eastAsia="Times New Roman" w:hAnsi="Times New Roman" w:cs="Times New Roman"/>
          <w:sz w:val="20"/>
          <w:szCs w:val="20"/>
        </w:rPr>
        <w:t>Лесюк Г. М. Роль лісового сектору України в національному плані повоєнного відновлення і Європейському зеленому курсі: попередній аналіз/Г. М. Лесюк, І. П. Соловій // Економіка України. -К., 2024, № 8.-С.88-105</w:t>
      </w:r>
      <w:r w:rsidR="00E9214E">
        <w:rPr>
          <w:rFonts w:ascii="Times New Roman" w:eastAsia="Times New Roman" w:hAnsi="Times New Roman" w:cs="Times New Roman"/>
          <w:sz w:val="20"/>
          <w:szCs w:val="20"/>
        </w:rPr>
        <w:t>.</w:t>
      </w:r>
      <w:r w:rsidR="00A64B64" w:rsidRPr="00A64B64">
        <w:rPr>
          <w:rFonts w:ascii="Times New Roman" w:eastAsia="Times New Roman" w:hAnsi="Times New Roman" w:cs="Times New Roman"/>
          <w:sz w:val="20"/>
          <w:szCs w:val="20"/>
        </w:rPr>
        <w:t xml:space="preserve"> </w:t>
      </w:r>
    </w:p>
    <w:p w14:paraId="050CB9AC" w14:textId="306F219D" w:rsidR="00A64B64" w:rsidRPr="00A64B64" w:rsidRDefault="00D975C2" w:rsidP="00A64B64">
      <w:pPr>
        <w:adjustRightInd w:val="0"/>
        <w:snapToGrid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w:t>
      </w:r>
      <w:r w:rsidR="00B96F16">
        <w:rPr>
          <w:rFonts w:ascii="Times New Roman" w:eastAsia="Times New Roman" w:hAnsi="Times New Roman" w:cs="Times New Roman"/>
          <w:sz w:val="20"/>
          <w:szCs w:val="20"/>
        </w:rPr>
        <w:t>1</w:t>
      </w:r>
      <w:r w:rsidR="00E9214E">
        <w:rPr>
          <w:rFonts w:ascii="Times New Roman" w:eastAsia="Times New Roman" w:hAnsi="Times New Roman" w:cs="Times New Roman"/>
          <w:sz w:val="20"/>
          <w:szCs w:val="20"/>
        </w:rPr>
        <w:t xml:space="preserve">. </w:t>
      </w:r>
      <w:r w:rsidR="00A64B64" w:rsidRPr="00A64B64">
        <w:rPr>
          <w:rFonts w:ascii="Times New Roman" w:eastAsia="Times New Roman" w:hAnsi="Times New Roman" w:cs="Times New Roman"/>
          <w:sz w:val="20"/>
          <w:szCs w:val="20"/>
        </w:rPr>
        <w:t>Перспективи розвитку органічного виробництва в Україні в умовах європейського зеленого курсу // Економіка АПК. -К., 2021, № 9.-С.31-40</w:t>
      </w:r>
      <w:r w:rsidR="00E9214E">
        <w:rPr>
          <w:rFonts w:ascii="Times New Roman" w:eastAsia="Times New Roman" w:hAnsi="Times New Roman" w:cs="Times New Roman"/>
          <w:sz w:val="20"/>
          <w:szCs w:val="20"/>
        </w:rPr>
        <w:t>.</w:t>
      </w:r>
    </w:p>
    <w:p w14:paraId="543BB866" w14:textId="0C354F3A" w:rsidR="00A64B64" w:rsidRPr="00A64B64" w:rsidRDefault="00AB5482" w:rsidP="00A64B64">
      <w:pPr>
        <w:adjustRightInd w:val="0"/>
        <w:snapToGrid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w:t>
      </w:r>
      <w:r w:rsidR="00B96F16">
        <w:rPr>
          <w:rFonts w:ascii="Times New Roman" w:eastAsia="Times New Roman" w:hAnsi="Times New Roman" w:cs="Times New Roman"/>
          <w:sz w:val="20"/>
          <w:szCs w:val="20"/>
        </w:rPr>
        <w:t>2</w:t>
      </w:r>
      <w:r w:rsidR="00E9214E">
        <w:rPr>
          <w:rFonts w:ascii="Times New Roman" w:eastAsia="Times New Roman" w:hAnsi="Times New Roman" w:cs="Times New Roman"/>
          <w:sz w:val="20"/>
          <w:szCs w:val="20"/>
        </w:rPr>
        <w:t xml:space="preserve">. </w:t>
      </w:r>
      <w:r w:rsidR="00A64B64" w:rsidRPr="00A64B64">
        <w:rPr>
          <w:rFonts w:ascii="Times New Roman" w:eastAsia="Times New Roman" w:hAnsi="Times New Roman" w:cs="Times New Roman"/>
          <w:sz w:val="20"/>
          <w:szCs w:val="20"/>
        </w:rPr>
        <w:t>Попова О. Л. Зелена архітектура САП ЄС: орієнтири для розбудови при повоєнному відновленні України/О. Л. Попова, Л. Л. Панкратова // Економіка України. -К., 2023, № 8.-С.78-96</w:t>
      </w:r>
      <w:r w:rsidR="00E9214E">
        <w:rPr>
          <w:rFonts w:ascii="Times New Roman" w:eastAsia="Times New Roman" w:hAnsi="Times New Roman" w:cs="Times New Roman"/>
          <w:sz w:val="20"/>
          <w:szCs w:val="20"/>
        </w:rPr>
        <w:t>.</w:t>
      </w:r>
    </w:p>
    <w:p w14:paraId="49B71D6E" w14:textId="021DD9D4" w:rsidR="00E9214E" w:rsidRDefault="00AB5482" w:rsidP="00A64B64">
      <w:pPr>
        <w:adjustRightInd w:val="0"/>
        <w:snapToGrid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w:t>
      </w:r>
      <w:r w:rsidR="00B96F16">
        <w:rPr>
          <w:rFonts w:ascii="Times New Roman" w:eastAsia="Times New Roman" w:hAnsi="Times New Roman" w:cs="Times New Roman"/>
          <w:sz w:val="20"/>
          <w:szCs w:val="20"/>
        </w:rPr>
        <w:t>3</w:t>
      </w:r>
      <w:r w:rsidR="00E9214E">
        <w:rPr>
          <w:rFonts w:ascii="Times New Roman" w:eastAsia="Times New Roman" w:hAnsi="Times New Roman" w:cs="Times New Roman"/>
          <w:sz w:val="20"/>
          <w:szCs w:val="20"/>
        </w:rPr>
        <w:t xml:space="preserve">. </w:t>
      </w:r>
      <w:r w:rsidR="00A64B64" w:rsidRPr="00A64B64">
        <w:rPr>
          <w:rFonts w:ascii="Times New Roman" w:eastAsia="Times New Roman" w:hAnsi="Times New Roman" w:cs="Times New Roman"/>
          <w:sz w:val="20"/>
          <w:szCs w:val="20"/>
        </w:rPr>
        <w:t>Резнікова Н. В. Формування інституційної підтримки розвитку циркулярної економіки та її сталого фінансування в Європейському Союзі/Н. В. Резнікова, М. І. Грод // Економіка України. -К., 2023, № 11.-С.52-75</w:t>
      </w:r>
      <w:r w:rsidR="00E9214E">
        <w:rPr>
          <w:rFonts w:ascii="Times New Roman" w:eastAsia="Times New Roman" w:hAnsi="Times New Roman" w:cs="Times New Roman"/>
          <w:sz w:val="20"/>
          <w:szCs w:val="20"/>
        </w:rPr>
        <w:t>.</w:t>
      </w:r>
    </w:p>
    <w:p w14:paraId="121E14BF" w14:textId="2B7146D5" w:rsidR="00A64B64" w:rsidRDefault="00AB5482" w:rsidP="00A64B64">
      <w:pPr>
        <w:adjustRightInd w:val="0"/>
        <w:snapToGrid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w:t>
      </w:r>
      <w:r w:rsidR="00B96F16">
        <w:rPr>
          <w:rFonts w:ascii="Times New Roman" w:eastAsia="Times New Roman" w:hAnsi="Times New Roman" w:cs="Times New Roman"/>
          <w:sz w:val="20"/>
          <w:szCs w:val="20"/>
        </w:rPr>
        <w:t>4</w:t>
      </w:r>
      <w:r w:rsidR="00E9214E">
        <w:rPr>
          <w:rFonts w:ascii="Times New Roman" w:eastAsia="Times New Roman" w:hAnsi="Times New Roman" w:cs="Times New Roman"/>
          <w:sz w:val="20"/>
          <w:szCs w:val="20"/>
        </w:rPr>
        <w:t xml:space="preserve">. </w:t>
      </w:r>
      <w:r w:rsidR="00A64B64" w:rsidRPr="00A64B64">
        <w:rPr>
          <w:rFonts w:ascii="Times New Roman" w:eastAsia="Times New Roman" w:hAnsi="Times New Roman" w:cs="Times New Roman"/>
          <w:sz w:val="20"/>
          <w:szCs w:val="20"/>
        </w:rPr>
        <w:t>Ткачик Ф. П. Концептуальні основи трансформації бюджетної політики в контексті забезпечення сталого розвитку територіальних громад/Ф. П. Ткачик, В. О. Бачинський // Економіка, фінанси, право. -Київ, 2025, № 7.-С.102-107</w:t>
      </w:r>
      <w:r w:rsidR="00E9214E">
        <w:rPr>
          <w:rFonts w:ascii="Times New Roman" w:eastAsia="Times New Roman" w:hAnsi="Times New Roman" w:cs="Times New Roman"/>
          <w:sz w:val="20"/>
          <w:szCs w:val="20"/>
        </w:rPr>
        <w:t>.</w:t>
      </w:r>
      <w:r w:rsidR="00A64B64" w:rsidRPr="00A64B64">
        <w:rPr>
          <w:rFonts w:ascii="Times New Roman" w:eastAsia="Times New Roman" w:hAnsi="Times New Roman" w:cs="Times New Roman"/>
          <w:sz w:val="20"/>
          <w:szCs w:val="20"/>
        </w:rPr>
        <w:t xml:space="preserve"> </w:t>
      </w:r>
    </w:p>
    <w:p w14:paraId="174807CA" w14:textId="6B9FAFAE" w:rsidR="00B96F16" w:rsidRPr="00E2045F" w:rsidRDefault="00B96F16" w:rsidP="00E2045F">
      <w:pPr>
        <w:tabs>
          <w:tab w:val="left" w:pos="1134"/>
        </w:tabs>
        <w:spacing w:after="0" w:line="240" w:lineRule="auto"/>
        <w:jc w:val="both"/>
        <w:rPr>
          <w:rFonts w:ascii="Times New Roman" w:eastAsia="Times New Roman" w:hAnsi="Times New Roman" w:cs="Times New Roman"/>
          <w:iCs/>
          <w:color w:val="000000"/>
          <w:sz w:val="20"/>
          <w:szCs w:val="20"/>
          <w:lang w:eastAsia="en-US"/>
        </w:rPr>
      </w:pPr>
      <w:r>
        <w:rPr>
          <w:rFonts w:ascii="Times New Roman" w:eastAsia="Times New Roman" w:hAnsi="Times New Roman" w:cs="Times New Roman"/>
          <w:iCs/>
          <w:color w:val="000000"/>
          <w:sz w:val="20"/>
          <w:szCs w:val="20"/>
          <w:lang w:eastAsia="en-US"/>
        </w:rPr>
        <w:t xml:space="preserve">25. </w:t>
      </w:r>
      <w:r w:rsidRPr="00B96F16">
        <w:rPr>
          <w:rFonts w:ascii="Times New Roman" w:eastAsia="Times New Roman" w:hAnsi="Times New Roman" w:cs="Times New Roman"/>
          <w:iCs/>
          <w:color w:val="000000"/>
          <w:sz w:val="20"/>
          <w:szCs w:val="20"/>
          <w:lang w:eastAsia="en-US"/>
        </w:rPr>
        <w:t>Управління персоналом : підручник. 2-ге вид., перероб. і доп. / О. М. Шубалий, Н. Т. Рудь, А. І. Гордійчук, І. В. Шубала, М. І. Дзямулич, О.А. Хілуха, П.М. Косінський; за заг. ред. О. М. Шубалого. – Луцьк : ЛНТУ, 2023. – 414 с.</w:t>
      </w:r>
    </w:p>
    <w:p w14:paraId="78594FF3" w14:textId="31C6DAB5" w:rsidR="00A64B64" w:rsidRPr="00A64B64" w:rsidRDefault="00AB5482" w:rsidP="00A64B64">
      <w:pPr>
        <w:adjustRightInd w:val="0"/>
        <w:snapToGrid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w:t>
      </w:r>
      <w:r w:rsidR="00B96F16">
        <w:rPr>
          <w:rFonts w:ascii="Times New Roman" w:eastAsia="Times New Roman" w:hAnsi="Times New Roman" w:cs="Times New Roman"/>
          <w:sz w:val="20"/>
          <w:szCs w:val="20"/>
        </w:rPr>
        <w:t>6</w:t>
      </w:r>
      <w:r w:rsidR="00D975C2">
        <w:rPr>
          <w:rFonts w:ascii="Times New Roman" w:eastAsia="Times New Roman" w:hAnsi="Times New Roman" w:cs="Times New Roman"/>
          <w:sz w:val="20"/>
          <w:szCs w:val="20"/>
        </w:rPr>
        <w:t xml:space="preserve">. </w:t>
      </w:r>
      <w:r w:rsidR="00A64B64" w:rsidRPr="00A64B64">
        <w:rPr>
          <w:rFonts w:ascii="Times New Roman" w:eastAsia="Times New Roman" w:hAnsi="Times New Roman" w:cs="Times New Roman"/>
          <w:sz w:val="20"/>
          <w:szCs w:val="20"/>
        </w:rPr>
        <w:t>Фролов А. Ю. Глобалізація зеленого фінансування: від контурів зеленої економіки до сталого розвитку/А. Ю. Фролов // Фінанси України. -К., 2025, № 2.-С.66-78</w:t>
      </w:r>
      <w:r>
        <w:rPr>
          <w:rFonts w:ascii="Times New Roman" w:eastAsia="Times New Roman" w:hAnsi="Times New Roman" w:cs="Times New Roman"/>
          <w:sz w:val="20"/>
          <w:szCs w:val="20"/>
        </w:rPr>
        <w:t>.</w:t>
      </w:r>
    </w:p>
    <w:p w14:paraId="155D2008" w14:textId="569A50B7" w:rsidR="00A64B64" w:rsidRPr="00A64B64" w:rsidRDefault="00AB5482" w:rsidP="00A64B64">
      <w:pPr>
        <w:adjustRightInd w:val="0"/>
        <w:snapToGrid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2</w:t>
      </w:r>
      <w:r w:rsidR="00B96F16">
        <w:rPr>
          <w:rFonts w:ascii="Times New Roman" w:eastAsia="Times New Roman" w:hAnsi="Times New Roman" w:cs="Times New Roman"/>
          <w:sz w:val="20"/>
          <w:szCs w:val="20"/>
        </w:rPr>
        <w:t>7</w:t>
      </w:r>
      <w:r>
        <w:rPr>
          <w:rFonts w:ascii="Times New Roman" w:eastAsia="Times New Roman" w:hAnsi="Times New Roman" w:cs="Times New Roman"/>
          <w:sz w:val="20"/>
          <w:szCs w:val="20"/>
        </w:rPr>
        <w:t xml:space="preserve">. </w:t>
      </w:r>
      <w:r w:rsidR="00A64B64" w:rsidRPr="00A64B64">
        <w:rPr>
          <w:rFonts w:ascii="Times New Roman" w:eastAsia="Times New Roman" w:hAnsi="Times New Roman" w:cs="Times New Roman"/>
          <w:sz w:val="20"/>
          <w:szCs w:val="20"/>
        </w:rPr>
        <w:t>Фролов А. Ю. Зовнішні перевірки на ринку зелених облігацій: міжнародна практика та інсайти для України/А. Ю. Фролов // Економіка України. -К., 2024, № 6.-С.71-85</w:t>
      </w:r>
      <w:r w:rsidR="00B96F16">
        <w:rPr>
          <w:rFonts w:ascii="Times New Roman" w:eastAsia="Times New Roman" w:hAnsi="Times New Roman" w:cs="Times New Roman"/>
          <w:sz w:val="20"/>
          <w:szCs w:val="20"/>
        </w:rPr>
        <w:t>.</w:t>
      </w:r>
      <w:r w:rsidR="00A64B64" w:rsidRPr="00A64B64">
        <w:rPr>
          <w:rFonts w:ascii="Times New Roman" w:eastAsia="Times New Roman" w:hAnsi="Times New Roman" w:cs="Times New Roman"/>
          <w:sz w:val="20"/>
          <w:szCs w:val="20"/>
        </w:rPr>
        <w:t xml:space="preserve"> </w:t>
      </w:r>
    </w:p>
    <w:p w14:paraId="30A28509" w14:textId="100623DB" w:rsidR="00A64B64" w:rsidRPr="00A64B64" w:rsidRDefault="00AB5482" w:rsidP="00A64B64">
      <w:pPr>
        <w:adjustRightInd w:val="0"/>
        <w:snapToGrid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w:t>
      </w:r>
      <w:r w:rsidR="00B96F16">
        <w:rPr>
          <w:rFonts w:ascii="Times New Roman" w:eastAsia="Times New Roman" w:hAnsi="Times New Roman" w:cs="Times New Roman"/>
          <w:sz w:val="20"/>
          <w:szCs w:val="20"/>
        </w:rPr>
        <w:t>8</w:t>
      </w:r>
      <w:r>
        <w:rPr>
          <w:rFonts w:ascii="Times New Roman" w:eastAsia="Times New Roman" w:hAnsi="Times New Roman" w:cs="Times New Roman"/>
          <w:sz w:val="20"/>
          <w:szCs w:val="20"/>
        </w:rPr>
        <w:t xml:space="preserve">. </w:t>
      </w:r>
      <w:r w:rsidR="00A64B64" w:rsidRPr="00A64B64">
        <w:rPr>
          <w:rFonts w:ascii="Times New Roman" w:eastAsia="Times New Roman" w:hAnsi="Times New Roman" w:cs="Times New Roman"/>
          <w:sz w:val="20"/>
          <w:szCs w:val="20"/>
        </w:rPr>
        <w:t>Фролов А. Ю. Мінімалізація ризиків на ринку зелених облігацій/А. Ю. Фролов // Економіка України. -</w:t>
      </w:r>
      <w:r>
        <w:rPr>
          <w:rFonts w:ascii="Times New Roman" w:eastAsia="Times New Roman" w:hAnsi="Times New Roman" w:cs="Times New Roman"/>
          <w:sz w:val="20"/>
          <w:szCs w:val="20"/>
        </w:rPr>
        <w:t xml:space="preserve"> </w:t>
      </w:r>
      <w:r w:rsidR="00A64B64" w:rsidRPr="00A64B64">
        <w:rPr>
          <w:rFonts w:ascii="Times New Roman" w:eastAsia="Times New Roman" w:hAnsi="Times New Roman" w:cs="Times New Roman"/>
          <w:sz w:val="20"/>
          <w:szCs w:val="20"/>
        </w:rPr>
        <w:t xml:space="preserve">К., 2025, № 5.-С.35-52 </w:t>
      </w:r>
      <w:r w:rsidR="00B96F16">
        <w:rPr>
          <w:rFonts w:ascii="Times New Roman" w:eastAsia="Times New Roman" w:hAnsi="Times New Roman" w:cs="Times New Roman"/>
          <w:sz w:val="20"/>
          <w:szCs w:val="20"/>
        </w:rPr>
        <w:t>.</w:t>
      </w:r>
    </w:p>
    <w:p w14:paraId="65D67199" w14:textId="0ACB228B" w:rsidR="00A64B64" w:rsidRPr="00A64B64" w:rsidRDefault="00AB5482" w:rsidP="00A64B64">
      <w:pPr>
        <w:adjustRightInd w:val="0"/>
        <w:snapToGrid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w:t>
      </w:r>
      <w:r w:rsidR="00B96F16">
        <w:rPr>
          <w:rFonts w:ascii="Times New Roman" w:eastAsia="Times New Roman" w:hAnsi="Times New Roman" w:cs="Times New Roman"/>
          <w:sz w:val="20"/>
          <w:szCs w:val="20"/>
        </w:rPr>
        <w:t>9</w:t>
      </w:r>
      <w:r>
        <w:rPr>
          <w:rFonts w:ascii="Times New Roman" w:eastAsia="Times New Roman" w:hAnsi="Times New Roman" w:cs="Times New Roman"/>
          <w:sz w:val="20"/>
          <w:szCs w:val="20"/>
        </w:rPr>
        <w:t xml:space="preserve">. </w:t>
      </w:r>
      <w:r w:rsidR="00A64B64" w:rsidRPr="00A64B64">
        <w:rPr>
          <w:rFonts w:ascii="Times New Roman" w:eastAsia="Times New Roman" w:hAnsi="Times New Roman" w:cs="Times New Roman"/>
          <w:sz w:val="20"/>
          <w:szCs w:val="20"/>
        </w:rPr>
        <w:t xml:space="preserve">Шкригун В. Л. Напрями формування системи поводження з промисловими відходами/В. Л. Шкригун, Н. М. Хазанова // Бібліотека всеукраїнської екологічної ліги. Стан навколишнього середовища. -К., 2021, № 12.-С.12-15 </w:t>
      </w:r>
    </w:p>
    <w:p w14:paraId="0EE17EC4" w14:textId="02E167D5" w:rsidR="00B96F16" w:rsidRDefault="00B96F16" w:rsidP="00A64B64">
      <w:pPr>
        <w:adjustRightInd w:val="0"/>
        <w:snapToGrid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30</w:t>
      </w:r>
      <w:r w:rsidR="00AB5482">
        <w:rPr>
          <w:rFonts w:ascii="Times New Roman" w:eastAsia="Times New Roman" w:hAnsi="Times New Roman" w:cs="Times New Roman"/>
          <w:sz w:val="20"/>
          <w:szCs w:val="20"/>
        </w:rPr>
        <w:t xml:space="preserve">. </w:t>
      </w:r>
      <w:r w:rsidR="00A64B64" w:rsidRPr="00A64B64">
        <w:rPr>
          <w:rFonts w:ascii="Times New Roman" w:eastAsia="Times New Roman" w:hAnsi="Times New Roman" w:cs="Times New Roman"/>
          <w:sz w:val="20"/>
          <w:szCs w:val="20"/>
        </w:rPr>
        <w:t>Щербакова О. А. Роль зелених облігацій у фінансуванні сталого розвитку/О. А. Щербакова // Економіка України. -К., 2023, № 12.-С.3-22</w:t>
      </w:r>
      <w:r>
        <w:rPr>
          <w:rFonts w:ascii="Times New Roman" w:eastAsia="Times New Roman" w:hAnsi="Times New Roman" w:cs="Times New Roman"/>
          <w:sz w:val="20"/>
          <w:szCs w:val="20"/>
        </w:rPr>
        <w:t>.</w:t>
      </w:r>
    </w:p>
    <w:p w14:paraId="150822B6" w14:textId="77777777" w:rsidR="00225704" w:rsidRPr="00225704" w:rsidRDefault="00225704" w:rsidP="00225704">
      <w:pPr>
        <w:adjustRightInd w:val="0"/>
        <w:snapToGrid w:val="0"/>
        <w:spacing w:after="0" w:line="240" w:lineRule="auto"/>
        <w:jc w:val="both"/>
        <w:rPr>
          <w:rFonts w:ascii="Times New Roman" w:eastAsia="Times New Roman" w:hAnsi="Times New Roman" w:cs="Times New Roman"/>
          <w:sz w:val="20"/>
          <w:szCs w:val="20"/>
        </w:rPr>
      </w:pPr>
    </w:p>
    <w:p w14:paraId="742867AC" w14:textId="77777777" w:rsidR="00225704" w:rsidRPr="005047BD" w:rsidRDefault="00225704" w:rsidP="00225704">
      <w:pPr>
        <w:adjustRightInd w:val="0"/>
        <w:snapToGrid w:val="0"/>
        <w:spacing w:after="0" w:line="240" w:lineRule="auto"/>
        <w:jc w:val="center"/>
        <w:rPr>
          <w:rFonts w:ascii="Times New Roman" w:eastAsia="Times New Roman" w:hAnsi="Times New Roman" w:cs="Times New Roman"/>
          <w:b/>
          <w:bCs/>
          <w:i/>
          <w:iCs/>
          <w:sz w:val="20"/>
          <w:szCs w:val="20"/>
        </w:rPr>
      </w:pPr>
      <w:r w:rsidRPr="005047BD">
        <w:rPr>
          <w:rFonts w:ascii="Times New Roman" w:eastAsia="Times New Roman" w:hAnsi="Times New Roman" w:cs="Times New Roman"/>
          <w:b/>
          <w:bCs/>
          <w:i/>
          <w:iCs/>
          <w:sz w:val="20"/>
          <w:szCs w:val="20"/>
        </w:rPr>
        <w:t>Інформаційні ресурси</w:t>
      </w:r>
    </w:p>
    <w:p w14:paraId="4D1E1D3B" w14:textId="77777777" w:rsidR="00225704" w:rsidRPr="00225704" w:rsidRDefault="00225704" w:rsidP="00225704">
      <w:pPr>
        <w:adjustRightInd w:val="0"/>
        <w:snapToGrid w:val="0"/>
        <w:spacing w:after="0" w:line="240" w:lineRule="auto"/>
        <w:jc w:val="both"/>
        <w:rPr>
          <w:rFonts w:ascii="Times New Roman" w:eastAsia="Times New Roman" w:hAnsi="Times New Roman" w:cs="Times New Roman"/>
          <w:sz w:val="20"/>
          <w:szCs w:val="20"/>
        </w:rPr>
      </w:pPr>
    </w:p>
    <w:p w14:paraId="17544211" w14:textId="62BACF09" w:rsidR="00225704" w:rsidRPr="00225704" w:rsidRDefault="00225704" w:rsidP="00225704">
      <w:pPr>
        <w:adjustRightInd w:val="0"/>
        <w:snapToGrid w:val="0"/>
        <w:spacing w:after="0" w:line="240" w:lineRule="auto"/>
        <w:jc w:val="both"/>
        <w:rPr>
          <w:rFonts w:ascii="Times New Roman" w:eastAsia="Times New Roman" w:hAnsi="Times New Roman" w:cs="Times New Roman"/>
          <w:sz w:val="20"/>
          <w:szCs w:val="20"/>
        </w:rPr>
      </w:pPr>
      <w:r w:rsidRPr="00225704">
        <w:rPr>
          <w:rFonts w:ascii="Times New Roman" w:eastAsia="Times New Roman" w:hAnsi="Times New Roman" w:cs="Times New Roman"/>
          <w:sz w:val="20"/>
          <w:szCs w:val="20"/>
        </w:rPr>
        <w:t>1. Класифікатор професій ДК 003:2010: офіційний веб-сайт. URL: (rada.gov.</w:t>
      </w:r>
      <w:r w:rsidR="00B01A95">
        <w:rPr>
          <w:rFonts w:ascii="Times New Roman" w:hAnsi="Times New Roman" w:cs="Times New Roman"/>
          <w:sz w:val="20"/>
          <w:szCs w:val="20"/>
          <w:lang w:val="en-US"/>
        </w:rPr>
        <w:t>ua</w:t>
      </w:r>
      <w:r w:rsidRPr="00225704">
        <w:rPr>
          <w:rFonts w:ascii="Times New Roman" w:eastAsia="Times New Roman" w:hAnsi="Times New Roman" w:cs="Times New Roman"/>
          <w:sz w:val="20"/>
          <w:szCs w:val="20"/>
        </w:rPr>
        <w:t>)</w:t>
      </w:r>
    </w:p>
    <w:p w14:paraId="167753A8" w14:textId="5909D6EC" w:rsidR="00225704" w:rsidRPr="00225704" w:rsidRDefault="00225704" w:rsidP="00225704">
      <w:pPr>
        <w:adjustRightInd w:val="0"/>
        <w:snapToGrid w:val="0"/>
        <w:spacing w:after="0" w:line="240" w:lineRule="auto"/>
        <w:jc w:val="both"/>
        <w:rPr>
          <w:rFonts w:ascii="Times New Roman" w:eastAsia="Times New Roman" w:hAnsi="Times New Roman" w:cs="Times New Roman"/>
          <w:sz w:val="20"/>
          <w:szCs w:val="20"/>
        </w:rPr>
      </w:pPr>
      <w:r w:rsidRPr="00225704">
        <w:rPr>
          <w:rFonts w:ascii="Times New Roman" w:eastAsia="Times New Roman" w:hAnsi="Times New Roman" w:cs="Times New Roman"/>
          <w:sz w:val="20"/>
          <w:szCs w:val="20"/>
        </w:rPr>
        <w:t>2. Державна служба зайнятості: офіційний веб-сайт. URL:  (dcz.gov.</w:t>
      </w:r>
      <w:r w:rsidR="00B01A95">
        <w:rPr>
          <w:rFonts w:ascii="Times New Roman" w:hAnsi="Times New Roman" w:cs="Times New Roman"/>
          <w:sz w:val="20"/>
          <w:szCs w:val="20"/>
          <w:lang w:val="en-US"/>
        </w:rPr>
        <w:t>ua</w:t>
      </w:r>
      <w:r w:rsidRPr="00225704">
        <w:rPr>
          <w:rFonts w:ascii="Times New Roman" w:eastAsia="Times New Roman" w:hAnsi="Times New Roman" w:cs="Times New Roman"/>
          <w:sz w:val="20"/>
          <w:szCs w:val="20"/>
        </w:rPr>
        <w:t>)</w:t>
      </w:r>
    </w:p>
    <w:p w14:paraId="7AD10076" w14:textId="23DFBFDC" w:rsidR="00225704" w:rsidRPr="00225704" w:rsidRDefault="00225704" w:rsidP="00225704">
      <w:pPr>
        <w:adjustRightInd w:val="0"/>
        <w:snapToGrid w:val="0"/>
        <w:spacing w:after="0" w:line="240" w:lineRule="auto"/>
        <w:jc w:val="both"/>
        <w:rPr>
          <w:rFonts w:ascii="Times New Roman" w:eastAsia="Times New Roman" w:hAnsi="Times New Roman" w:cs="Times New Roman"/>
          <w:sz w:val="20"/>
          <w:szCs w:val="20"/>
        </w:rPr>
      </w:pPr>
      <w:r w:rsidRPr="00225704">
        <w:rPr>
          <w:rFonts w:ascii="Times New Roman" w:eastAsia="Times New Roman" w:hAnsi="Times New Roman" w:cs="Times New Roman"/>
          <w:sz w:val="20"/>
          <w:szCs w:val="20"/>
        </w:rPr>
        <w:t>3. Державна служба статистики України: офіційний веб-сайт. URL: www.иkrstat.gov.</w:t>
      </w:r>
      <w:r w:rsidR="00B01A95">
        <w:rPr>
          <w:rFonts w:ascii="Times New Roman" w:hAnsi="Times New Roman" w:cs="Times New Roman"/>
          <w:sz w:val="20"/>
          <w:szCs w:val="20"/>
          <w:lang w:val="en-US"/>
        </w:rPr>
        <w:t>ua</w:t>
      </w:r>
    </w:p>
    <w:p w14:paraId="3F0BA40E" w14:textId="386E552B" w:rsidR="00225704" w:rsidRPr="00225704" w:rsidRDefault="00225704" w:rsidP="00225704">
      <w:pPr>
        <w:adjustRightInd w:val="0"/>
        <w:snapToGrid w:val="0"/>
        <w:spacing w:after="0" w:line="240" w:lineRule="auto"/>
        <w:jc w:val="both"/>
        <w:rPr>
          <w:rFonts w:ascii="Times New Roman" w:eastAsia="Times New Roman" w:hAnsi="Times New Roman" w:cs="Times New Roman"/>
          <w:sz w:val="20"/>
          <w:szCs w:val="20"/>
        </w:rPr>
      </w:pPr>
      <w:r w:rsidRPr="00225704">
        <w:rPr>
          <w:rFonts w:ascii="Times New Roman" w:eastAsia="Times New Roman" w:hAnsi="Times New Roman" w:cs="Times New Roman"/>
          <w:sz w:val="20"/>
          <w:szCs w:val="20"/>
        </w:rPr>
        <w:t>4. Офіс Президента України: офіційний веб-сайт. URL: www.president.gov.</w:t>
      </w:r>
      <w:r w:rsidR="00B01A95">
        <w:rPr>
          <w:rFonts w:ascii="Times New Roman" w:hAnsi="Times New Roman" w:cs="Times New Roman"/>
          <w:sz w:val="20"/>
          <w:szCs w:val="20"/>
          <w:lang w:val="en-US"/>
        </w:rPr>
        <w:t>ua</w:t>
      </w:r>
      <w:r w:rsidRPr="00225704">
        <w:rPr>
          <w:rFonts w:ascii="Times New Roman" w:eastAsia="Times New Roman" w:hAnsi="Times New Roman" w:cs="Times New Roman"/>
          <w:sz w:val="20"/>
          <w:szCs w:val="20"/>
        </w:rPr>
        <w:t xml:space="preserve"> </w:t>
      </w:r>
    </w:p>
    <w:p w14:paraId="3CA18A39" w14:textId="6893AC62" w:rsidR="00225704" w:rsidRPr="00225704" w:rsidRDefault="00225704" w:rsidP="00225704">
      <w:pPr>
        <w:adjustRightInd w:val="0"/>
        <w:snapToGrid w:val="0"/>
        <w:spacing w:after="0" w:line="240" w:lineRule="auto"/>
        <w:jc w:val="both"/>
        <w:rPr>
          <w:rFonts w:ascii="Times New Roman" w:eastAsia="Times New Roman" w:hAnsi="Times New Roman" w:cs="Times New Roman"/>
          <w:sz w:val="20"/>
          <w:szCs w:val="20"/>
        </w:rPr>
      </w:pPr>
      <w:r w:rsidRPr="00225704">
        <w:rPr>
          <w:rFonts w:ascii="Times New Roman" w:eastAsia="Times New Roman" w:hAnsi="Times New Roman" w:cs="Times New Roman"/>
          <w:sz w:val="20"/>
          <w:szCs w:val="20"/>
        </w:rPr>
        <w:t>5. Верховна Рада України: офіційний веб-сайт. URL: www.rada.gov.</w:t>
      </w:r>
      <w:r w:rsidR="00B01A95">
        <w:rPr>
          <w:rFonts w:ascii="Times New Roman" w:hAnsi="Times New Roman" w:cs="Times New Roman"/>
          <w:sz w:val="20"/>
          <w:szCs w:val="20"/>
          <w:lang w:val="en-US"/>
        </w:rPr>
        <w:t>ua</w:t>
      </w:r>
      <w:r w:rsidRPr="00225704">
        <w:rPr>
          <w:rFonts w:ascii="Times New Roman" w:eastAsia="Times New Roman" w:hAnsi="Times New Roman" w:cs="Times New Roman"/>
          <w:sz w:val="20"/>
          <w:szCs w:val="20"/>
        </w:rPr>
        <w:t xml:space="preserve"> </w:t>
      </w:r>
    </w:p>
    <w:p w14:paraId="1C407E15" w14:textId="15F21552" w:rsidR="00225704" w:rsidRPr="00225704" w:rsidRDefault="00225704" w:rsidP="00225704">
      <w:pPr>
        <w:adjustRightInd w:val="0"/>
        <w:snapToGrid w:val="0"/>
        <w:spacing w:after="0" w:line="240" w:lineRule="auto"/>
        <w:jc w:val="both"/>
        <w:rPr>
          <w:rFonts w:ascii="Times New Roman" w:eastAsia="Times New Roman" w:hAnsi="Times New Roman" w:cs="Times New Roman"/>
          <w:sz w:val="20"/>
          <w:szCs w:val="20"/>
        </w:rPr>
      </w:pPr>
      <w:r w:rsidRPr="00225704">
        <w:rPr>
          <w:rFonts w:ascii="Times New Roman" w:eastAsia="Times New Roman" w:hAnsi="Times New Roman" w:cs="Times New Roman"/>
          <w:sz w:val="20"/>
          <w:szCs w:val="20"/>
        </w:rPr>
        <w:t>6. Кабінет Міністрів України: офіційний веб-сайт. URL: www.kmи.gov.</w:t>
      </w:r>
      <w:r w:rsidR="00B064CA">
        <w:rPr>
          <w:rFonts w:ascii="Times New Roman" w:hAnsi="Times New Roman" w:cs="Times New Roman"/>
          <w:sz w:val="20"/>
          <w:szCs w:val="20"/>
          <w:lang w:val="en-US"/>
        </w:rPr>
        <w:t>ua</w:t>
      </w:r>
    </w:p>
    <w:p w14:paraId="7131A924" w14:textId="78B32F15" w:rsidR="00225704" w:rsidRPr="00225704" w:rsidRDefault="00225704" w:rsidP="00225704">
      <w:pPr>
        <w:adjustRightInd w:val="0"/>
        <w:snapToGrid w:val="0"/>
        <w:spacing w:after="0" w:line="240" w:lineRule="auto"/>
        <w:jc w:val="both"/>
        <w:rPr>
          <w:rFonts w:ascii="Times New Roman" w:eastAsia="Times New Roman" w:hAnsi="Times New Roman" w:cs="Times New Roman"/>
          <w:sz w:val="20"/>
          <w:szCs w:val="20"/>
        </w:rPr>
      </w:pPr>
      <w:r w:rsidRPr="00225704">
        <w:rPr>
          <w:rFonts w:ascii="Times New Roman" w:eastAsia="Times New Roman" w:hAnsi="Times New Roman" w:cs="Times New Roman"/>
          <w:sz w:val="20"/>
          <w:szCs w:val="20"/>
        </w:rPr>
        <w:t>7. Міністерство фінансів України: офіційний веб-сайт. URL: www.minfin.gov.</w:t>
      </w:r>
      <w:r w:rsidR="00B01A95" w:rsidRPr="00C37F1C">
        <w:rPr>
          <w:rFonts w:ascii="Times New Roman" w:hAnsi="Times New Roman" w:cs="Times New Roman"/>
          <w:sz w:val="20"/>
          <w:szCs w:val="20"/>
        </w:rPr>
        <w:t xml:space="preserve"> </w:t>
      </w:r>
      <w:r w:rsidR="00B01A95">
        <w:rPr>
          <w:rFonts w:ascii="Times New Roman" w:hAnsi="Times New Roman" w:cs="Times New Roman"/>
          <w:sz w:val="20"/>
          <w:szCs w:val="20"/>
          <w:lang w:val="en-US"/>
        </w:rPr>
        <w:t>ua</w:t>
      </w:r>
    </w:p>
    <w:p w14:paraId="1932CF27" w14:textId="22421BD3" w:rsidR="00225704" w:rsidRPr="00225704" w:rsidRDefault="00225704" w:rsidP="00225704">
      <w:pPr>
        <w:adjustRightInd w:val="0"/>
        <w:snapToGrid w:val="0"/>
        <w:spacing w:after="0" w:line="240" w:lineRule="auto"/>
        <w:jc w:val="both"/>
        <w:rPr>
          <w:rFonts w:ascii="Times New Roman" w:eastAsia="Times New Roman" w:hAnsi="Times New Roman" w:cs="Times New Roman"/>
          <w:sz w:val="20"/>
          <w:szCs w:val="20"/>
        </w:rPr>
      </w:pPr>
      <w:r w:rsidRPr="00225704">
        <w:rPr>
          <w:rFonts w:ascii="Times New Roman" w:eastAsia="Times New Roman" w:hAnsi="Times New Roman" w:cs="Times New Roman"/>
          <w:sz w:val="20"/>
          <w:szCs w:val="20"/>
        </w:rPr>
        <w:t>8. Міністерство захисту довкілля та природних ресурсів України: офіційний веб-сайт. URL: https://menr.gov.</w:t>
      </w:r>
      <w:r w:rsidR="00B01A95">
        <w:rPr>
          <w:rFonts w:ascii="Times New Roman" w:hAnsi="Times New Roman" w:cs="Times New Roman"/>
          <w:sz w:val="20"/>
          <w:szCs w:val="20"/>
          <w:lang w:val="en-US"/>
        </w:rPr>
        <w:t>ua</w:t>
      </w:r>
    </w:p>
    <w:p w14:paraId="4D41D56C" w14:textId="697FB477" w:rsidR="00225704" w:rsidRPr="00225704" w:rsidRDefault="00225704" w:rsidP="00225704">
      <w:pPr>
        <w:adjustRightInd w:val="0"/>
        <w:snapToGrid w:val="0"/>
        <w:spacing w:after="0" w:line="240" w:lineRule="auto"/>
        <w:jc w:val="both"/>
        <w:rPr>
          <w:rFonts w:ascii="Times New Roman" w:eastAsia="Times New Roman" w:hAnsi="Times New Roman" w:cs="Times New Roman"/>
          <w:sz w:val="20"/>
          <w:szCs w:val="20"/>
        </w:rPr>
      </w:pPr>
      <w:r w:rsidRPr="00225704">
        <w:rPr>
          <w:rFonts w:ascii="Times New Roman" w:eastAsia="Times New Roman" w:hAnsi="Times New Roman" w:cs="Times New Roman"/>
          <w:sz w:val="20"/>
          <w:szCs w:val="20"/>
        </w:rPr>
        <w:t>9. Міністерство розвитку громад та територій України: офіційний веб-сайт. URL: https://www.minregion.gov.</w:t>
      </w:r>
      <w:r w:rsidR="00B01A95">
        <w:rPr>
          <w:rFonts w:ascii="Times New Roman" w:hAnsi="Times New Roman" w:cs="Times New Roman"/>
          <w:sz w:val="20"/>
          <w:szCs w:val="20"/>
          <w:lang w:val="en-US"/>
        </w:rPr>
        <w:t>ua</w:t>
      </w:r>
    </w:p>
    <w:p w14:paraId="657202C2" w14:textId="1CEE6842" w:rsidR="00B96F16" w:rsidRPr="00C37F1C" w:rsidRDefault="00225704" w:rsidP="00225704">
      <w:pPr>
        <w:adjustRightInd w:val="0"/>
        <w:snapToGrid w:val="0"/>
        <w:spacing w:after="0" w:line="240" w:lineRule="auto"/>
        <w:jc w:val="both"/>
        <w:rPr>
          <w:rFonts w:ascii="Times New Roman" w:hAnsi="Times New Roman" w:cs="Times New Roman"/>
          <w:sz w:val="20"/>
          <w:szCs w:val="20"/>
        </w:rPr>
      </w:pPr>
      <w:r w:rsidRPr="00225704">
        <w:rPr>
          <w:rFonts w:ascii="Times New Roman" w:eastAsia="Times New Roman" w:hAnsi="Times New Roman" w:cs="Times New Roman"/>
          <w:sz w:val="20"/>
          <w:szCs w:val="20"/>
        </w:rPr>
        <w:t>10. Міністерство соціальної політики України: офіційний веб-сайт. URL: https://www.msp.gov.</w:t>
      </w:r>
      <w:r w:rsidR="00F23AAB">
        <w:rPr>
          <w:rFonts w:ascii="Times New Roman" w:hAnsi="Times New Roman" w:cs="Times New Roman"/>
          <w:sz w:val="20"/>
          <w:szCs w:val="20"/>
          <w:lang w:val="en-US"/>
        </w:rPr>
        <w:t>ua</w:t>
      </w:r>
    </w:p>
    <w:p w14:paraId="4B8EA217" w14:textId="77777777" w:rsidR="00A64B64" w:rsidRPr="00CC7E1D" w:rsidRDefault="00A64B64" w:rsidP="00732FA2">
      <w:pPr>
        <w:jc w:val="center"/>
        <w:rPr>
          <w:rFonts w:ascii="Times New Roman" w:hAnsi="Times New Roman" w:cs="Times New Roman"/>
          <w:b/>
          <w:bCs/>
          <w:sz w:val="20"/>
          <w:szCs w:val="20"/>
        </w:rPr>
      </w:pPr>
    </w:p>
    <w:p w14:paraId="6748E66D" w14:textId="7036BBDA" w:rsidR="00071B2E" w:rsidRPr="00C37F1C" w:rsidRDefault="00071B2E">
      <w:pPr>
        <w:rPr>
          <w:rFonts w:ascii="Times New Roman" w:hAnsi="Times New Roman" w:cs="Times New Roman"/>
          <w:sz w:val="16"/>
          <w:szCs w:val="16"/>
        </w:rPr>
      </w:pPr>
      <w:r w:rsidRPr="00C37F1C">
        <w:rPr>
          <w:rFonts w:ascii="Times New Roman" w:hAnsi="Times New Roman" w:cs="Times New Roman"/>
          <w:sz w:val="16"/>
          <w:szCs w:val="16"/>
        </w:rPr>
        <w:br w:type="page"/>
      </w:r>
    </w:p>
    <w:p w14:paraId="138F18C9" w14:textId="5957DB6B" w:rsidR="00395918" w:rsidRPr="00395918" w:rsidRDefault="00C37F1C" w:rsidP="00395918">
      <w:pPr>
        <w:widowControl w:val="0"/>
        <w:autoSpaceDE w:val="0"/>
        <w:autoSpaceDN w:val="0"/>
        <w:adjustRightInd w:val="0"/>
        <w:spacing w:after="0" w:line="240" w:lineRule="auto"/>
        <w:ind w:firstLine="284"/>
        <w:contextualSpacing/>
        <w:jc w:val="both"/>
        <w:rPr>
          <w:rFonts w:ascii="Times New Roman" w:eastAsia="Times New Roman" w:hAnsi="Times New Roman" w:cs="Times New Roman"/>
          <w:b/>
          <w:color w:val="000000"/>
          <w:sz w:val="20"/>
          <w:szCs w:val="20"/>
          <w:lang w:eastAsia="ru-RU"/>
        </w:rPr>
      </w:pPr>
      <w:r w:rsidRPr="00C37F1C">
        <w:rPr>
          <w:rFonts w:ascii="Times New Roman" w:eastAsia="Times New Roman" w:hAnsi="Times New Roman" w:cs="Times New Roman"/>
          <w:color w:val="000000"/>
          <w:sz w:val="20"/>
          <w:szCs w:val="20"/>
          <w:lang w:eastAsia="uk-UA"/>
        </w:rPr>
        <w:lastRenderedPageBreak/>
        <w:t>Зелена економіка : конспект лекцій  для здобувачів першого бакалаврського рівня вищої освіти освітньої програми «</w:t>
      </w:r>
      <w:r w:rsidR="003D5A49">
        <w:rPr>
          <w:rFonts w:ascii="Times New Roman" w:eastAsia="Times New Roman" w:hAnsi="Times New Roman" w:cs="Times New Roman"/>
          <w:color w:val="000000"/>
          <w:sz w:val="20"/>
          <w:szCs w:val="20"/>
          <w:lang w:eastAsia="uk-UA"/>
        </w:rPr>
        <w:t>Економіка</w:t>
      </w:r>
      <w:r w:rsidRPr="00C37F1C">
        <w:rPr>
          <w:rFonts w:ascii="Times New Roman" w:eastAsia="Times New Roman" w:hAnsi="Times New Roman" w:cs="Times New Roman"/>
          <w:color w:val="000000"/>
          <w:sz w:val="20"/>
          <w:szCs w:val="20"/>
          <w:lang w:eastAsia="uk-UA"/>
        </w:rPr>
        <w:t xml:space="preserve">» галузі знань С «Соціальні науки, журналістика, інформація та міжнародні відносини», спеціальність С1 «Економіка та міжнародні економічні відносини (за спеціалізаціями)» спеціалізація С1.01 «Економіка», денної та заочної форм навчання / уклад. О. А. Хілуха. </w:t>
      </w:r>
      <w:r w:rsidR="00DB2A77" w:rsidRPr="00DB2A77">
        <w:rPr>
          <w:rFonts w:ascii="Times New Roman" w:eastAsia="Times New Roman" w:hAnsi="Times New Roman" w:cs="Times New Roman"/>
          <w:color w:val="000000"/>
          <w:sz w:val="20"/>
          <w:szCs w:val="20"/>
          <w:lang w:eastAsia="uk-UA"/>
        </w:rPr>
        <w:t>П. М. Косінський</w:t>
      </w:r>
      <w:r w:rsidR="00270C90">
        <w:rPr>
          <w:rFonts w:ascii="Times New Roman" w:eastAsia="Times New Roman" w:hAnsi="Times New Roman" w:cs="Times New Roman"/>
          <w:color w:val="000000"/>
          <w:sz w:val="20"/>
          <w:szCs w:val="20"/>
          <w:lang w:eastAsia="uk-UA"/>
        </w:rPr>
        <w:t>.</w:t>
      </w:r>
      <w:r w:rsidR="00DB2A77" w:rsidRPr="00DB2A77">
        <w:rPr>
          <w:rFonts w:ascii="Times New Roman" w:eastAsia="Times New Roman" w:hAnsi="Times New Roman" w:cs="Times New Roman"/>
          <w:color w:val="000000"/>
          <w:sz w:val="20"/>
          <w:szCs w:val="20"/>
          <w:lang w:eastAsia="uk-UA"/>
        </w:rPr>
        <w:t xml:space="preserve"> </w:t>
      </w:r>
      <w:r w:rsidRPr="00C37F1C">
        <w:rPr>
          <w:rFonts w:ascii="Times New Roman" w:eastAsia="Times New Roman" w:hAnsi="Times New Roman" w:cs="Times New Roman"/>
          <w:color w:val="000000"/>
          <w:sz w:val="20"/>
          <w:szCs w:val="20"/>
          <w:lang w:eastAsia="uk-UA"/>
        </w:rPr>
        <w:t xml:space="preserve">Луцьк: ЛНТУ, 2025.  </w:t>
      </w:r>
      <w:r w:rsidR="00897647">
        <w:rPr>
          <w:rFonts w:ascii="Times New Roman" w:eastAsia="Times New Roman" w:hAnsi="Times New Roman" w:cs="Times New Roman"/>
          <w:sz w:val="20"/>
          <w:szCs w:val="20"/>
          <w:lang w:eastAsia="uk-UA"/>
        </w:rPr>
        <w:t>13</w:t>
      </w:r>
      <w:r w:rsidR="00C37221">
        <w:rPr>
          <w:rFonts w:ascii="Times New Roman" w:eastAsia="Times New Roman" w:hAnsi="Times New Roman" w:cs="Times New Roman"/>
          <w:sz w:val="20"/>
          <w:szCs w:val="20"/>
          <w:lang w:eastAsia="uk-UA"/>
        </w:rPr>
        <w:t>2</w:t>
      </w:r>
      <w:r w:rsidR="00395918" w:rsidRPr="00395918">
        <w:rPr>
          <w:rFonts w:ascii="Times New Roman" w:eastAsia="Times New Roman" w:hAnsi="Times New Roman" w:cs="Times New Roman"/>
          <w:sz w:val="20"/>
          <w:szCs w:val="20"/>
          <w:lang w:eastAsia="uk-UA"/>
        </w:rPr>
        <w:t xml:space="preserve"> с.</w:t>
      </w:r>
    </w:p>
    <w:p w14:paraId="73B69342" w14:textId="77777777" w:rsidR="00395918" w:rsidRPr="00395918" w:rsidRDefault="00395918" w:rsidP="00395918">
      <w:pPr>
        <w:widowControl w:val="0"/>
        <w:autoSpaceDE w:val="0"/>
        <w:autoSpaceDN w:val="0"/>
        <w:adjustRightInd w:val="0"/>
        <w:spacing w:after="0" w:line="240" w:lineRule="auto"/>
        <w:ind w:firstLine="284"/>
        <w:jc w:val="center"/>
        <w:rPr>
          <w:rFonts w:ascii="Times New Roman" w:eastAsia="Times New Roman" w:hAnsi="Times New Roman" w:cs="Times New Roman"/>
          <w:b/>
          <w:color w:val="000000"/>
          <w:sz w:val="20"/>
          <w:szCs w:val="20"/>
          <w:lang w:eastAsia="ru-RU"/>
        </w:rPr>
      </w:pPr>
    </w:p>
    <w:p w14:paraId="3E3C4CAE" w14:textId="77777777" w:rsidR="00395918" w:rsidRPr="00395918" w:rsidRDefault="00395918" w:rsidP="00395918">
      <w:pPr>
        <w:widowControl w:val="0"/>
        <w:autoSpaceDE w:val="0"/>
        <w:autoSpaceDN w:val="0"/>
        <w:adjustRightInd w:val="0"/>
        <w:spacing w:after="0" w:line="240" w:lineRule="auto"/>
        <w:ind w:firstLine="284"/>
        <w:jc w:val="center"/>
        <w:rPr>
          <w:rFonts w:ascii="Times New Roman" w:eastAsia="Times New Roman" w:hAnsi="Times New Roman" w:cs="Times New Roman"/>
          <w:b/>
          <w:color w:val="000000"/>
          <w:sz w:val="20"/>
          <w:szCs w:val="20"/>
          <w:lang w:eastAsia="ru-RU"/>
        </w:rPr>
      </w:pPr>
    </w:p>
    <w:p w14:paraId="2A5672DF" w14:textId="77777777" w:rsidR="00395918" w:rsidRPr="00395918" w:rsidRDefault="00395918" w:rsidP="00395918">
      <w:pPr>
        <w:widowControl w:val="0"/>
        <w:autoSpaceDE w:val="0"/>
        <w:autoSpaceDN w:val="0"/>
        <w:adjustRightInd w:val="0"/>
        <w:spacing w:after="0" w:line="240" w:lineRule="auto"/>
        <w:ind w:firstLine="284"/>
        <w:rPr>
          <w:rFonts w:ascii="Times New Roman" w:eastAsia="Times New Roman" w:hAnsi="Times New Roman" w:cs="Times New Roman"/>
          <w:b/>
          <w:color w:val="000000"/>
          <w:sz w:val="20"/>
          <w:szCs w:val="20"/>
          <w:lang w:eastAsia="ru-RU"/>
        </w:rPr>
      </w:pPr>
    </w:p>
    <w:p w14:paraId="5181AFAD" w14:textId="77777777" w:rsidR="00395918" w:rsidRPr="00395918" w:rsidRDefault="00395918" w:rsidP="00395918">
      <w:pPr>
        <w:widowControl w:val="0"/>
        <w:autoSpaceDE w:val="0"/>
        <w:autoSpaceDN w:val="0"/>
        <w:adjustRightInd w:val="0"/>
        <w:spacing w:after="0" w:line="240" w:lineRule="auto"/>
        <w:ind w:firstLine="284"/>
        <w:jc w:val="center"/>
        <w:rPr>
          <w:rFonts w:ascii="Times New Roman" w:eastAsia="Times New Roman" w:hAnsi="Times New Roman" w:cs="Times New Roman"/>
          <w:b/>
          <w:color w:val="000000"/>
          <w:sz w:val="20"/>
          <w:szCs w:val="20"/>
          <w:lang w:eastAsia="ru-RU"/>
        </w:rPr>
      </w:pPr>
    </w:p>
    <w:p w14:paraId="773D5171" w14:textId="77777777" w:rsidR="00395918" w:rsidRPr="00395918" w:rsidRDefault="00395918" w:rsidP="00395918">
      <w:pPr>
        <w:widowControl w:val="0"/>
        <w:autoSpaceDE w:val="0"/>
        <w:autoSpaceDN w:val="0"/>
        <w:adjustRightInd w:val="0"/>
        <w:spacing w:after="0" w:line="240" w:lineRule="auto"/>
        <w:ind w:firstLine="284"/>
        <w:jc w:val="center"/>
        <w:rPr>
          <w:rFonts w:ascii="Times New Roman" w:eastAsia="Times New Roman" w:hAnsi="Times New Roman" w:cs="Times New Roman"/>
          <w:b/>
          <w:color w:val="000000"/>
          <w:sz w:val="20"/>
          <w:szCs w:val="20"/>
          <w:lang w:eastAsia="ru-RU"/>
        </w:rPr>
      </w:pPr>
    </w:p>
    <w:p w14:paraId="066A54D7" w14:textId="77777777" w:rsidR="00395918" w:rsidRPr="00395918" w:rsidRDefault="00395918" w:rsidP="00395918">
      <w:pPr>
        <w:widowControl w:val="0"/>
        <w:autoSpaceDE w:val="0"/>
        <w:autoSpaceDN w:val="0"/>
        <w:adjustRightInd w:val="0"/>
        <w:spacing w:after="0" w:line="240" w:lineRule="auto"/>
        <w:ind w:firstLine="284"/>
        <w:jc w:val="center"/>
        <w:rPr>
          <w:rFonts w:ascii="Times New Roman" w:eastAsia="Times New Roman" w:hAnsi="Times New Roman" w:cs="Times New Roman"/>
          <w:b/>
          <w:color w:val="000000"/>
          <w:sz w:val="20"/>
          <w:szCs w:val="20"/>
          <w:lang w:eastAsia="ru-RU"/>
        </w:rPr>
      </w:pPr>
    </w:p>
    <w:p w14:paraId="38456817" w14:textId="77777777" w:rsidR="00395918" w:rsidRPr="00395918" w:rsidRDefault="00395918" w:rsidP="00395918">
      <w:pPr>
        <w:widowControl w:val="0"/>
        <w:autoSpaceDE w:val="0"/>
        <w:autoSpaceDN w:val="0"/>
        <w:adjustRightInd w:val="0"/>
        <w:spacing w:after="0" w:line="240" w:lineRule="auto"/>
        <w:ind w:firstLine="284"/>
        <w:jc w:val="center"/>
        <w:rPr>
          <w:rFonts w:ascii="Times New Roman" w:eastAsia="Times New Roman" w:hAnsi="Times New Roman" w:cs="Times New Roman"/>
          <w:b/>
          <w:color w:val="000000"/>
          <w:sz w:val="20"/>
          <w:szCs w:val="20"/>
          <w:lang w:eastAsia="ru-RU"/>
        </w:rPr>
      </w:pPr>
    </w:p>
    <w:p w14:paraId="59B705BB" w14:textId="43957B4C" w:rsidR="00395918" w:rsidRPr="00395918" w:rsidRDefault="00395918" w:rsidP="00395918">
      <w:pPr>
        <w:widowControl w:val="0"/>
        <w:autoSpaceDE w:val="0"/>
        <w:autoSpaceDN w:val="0"/>
        <w:adjustRightInd w:val="0"/>
        <w:spacing w:after="0" w:line="240" w:lineRule="auto"/>
        <w:ind w:firstLine="284"/>
        <w:jc w:val="center"/>
        <w:rPr>
          <w:rFonts w:ascii="Times New Roman" w:eastAsia="Times New Roman" w:hAnsi="Times New Roman" w:cs="Times New Roman"/>
          <w:color w:val="000000"/>
          <w:sz w:val="20"/>
          <w:szCs w:val="20"/>
          <w:lang w:eastAsia="ru-RU"/>
        </w:rPr>
      </w:pPr>
      <w:r w:rsidRPr="00395918">
        <w:rPr>
          <w:rFonts w:ascii="Times New Roman" w:eastAsia="Times New Roman" w:hAnsi="Times New Roman" w:cs="Times New Roman"/>
          <w:color w:val="000000"/>
          <w:sz w:val="20"/>
          <w:szCs w:val="20"/>
          <w:lang w:eastAsia="ru-RU"/>
        </w:rPr>
        <w:t>Комп’ютерний набір</w:t>
      </w:r>
      <w:r w:rsidR="009C2BC3">
        <w:rPr>
          <w:rFonts w:ascii="Times New Roman" w:eastAsia="Times New Roman" w:hAnsi="Times New Roman" w:cs="Times New Roman"/>
          <w:color w:val="000000"/>
          <w:sz w:val="20"/>
          <w:szCs w:val="20"/>
          <w:lang w:eastAsia="ru-RU"/>
        </w:rPr>
        <w:t xml:space="preserve">    </w:t>
      </w:r>
      <w:r w:rsidRPr="00395918">
        <w:rPr>
          <w:rFonts w:ascii="Times New Roman" w:eastAsia="Times New Roman" w:hAnsi="Times New Roman" w:cs="Times New Roman"/>
          <w:color w:val="000000"/>
          <w:sz w:val="20"/>
          <w:szCs w:val="20"/>
          <w:lang w:eastAsia="ru-RU"/>
        </w:rPr>
        <w:t>О. А. Хілуха</w:t>
      </w:r>
    </w:p>
    <w:p w14:paraId="5D63CCCB" w14:textId="77777777" w:rsidR="00395918" w:rsidRPr="00395918" w:rsidRDefault="00395918" w:rsidP="00395918">
      <w:pPr>
        <w:widowControl w:val="0"/>
        <w:autoSpaceDE w:val="0"/>
        <w:autoSpaceDN w:val="0"/>
        <w:adjustRightInd w:val="0"/>
        <w:spacing w:after="0" w:line="240" w:lineRule="auto"/>
        <w:ind w:firstLine="284"/>
        <w:jc w:val="center"/>
        <w:rPr>
          <w:rFonts w:ascii="Times New Roman" w:eastAsia="Times New Roman" w:hAnsi="Times New Roman" w:cs="Times New Roman"/>
          <w:color w:val="000000"/>
          <w:sz w:val="20"/>
          <w:szCs w:val="20"/>
          <w:lang w:eastAsia="ru-RU"/>
        </w:rPr>
      </w:pPr>
    </w:p>
    <w:p w14:paraId="58B47D3C" w14:textId="1633C1A3" w:rsidR="00395918" w:rsidRPr="00395918" w:rsidRDefault="00395918" w:rsidP="00395918">
      <w:pPr>
        <w:widowControl w:val="0"/>
        <w:autoSpaceDE w:val="0"/>
        <w:autoSpaceDN w:val="0"/>
        <w:adjustRightInd w:val="0"/>
        <w:spacing w:after="0" w:line="240" w:lineRule="auto"/>
        <w:ind w:firstLine="284"/>
        <w:jc w:val="center"/>
        <w:rPr>
          <w:rFonts w:ascii="Times New Roman" w:eastAsia="Times New Roman" w:hAnsi="Times New Roman" w:cs="Times New Roman"/>
          <w:color w:val="000000"/>
          <w:sz w:val="20"/>
          <w:szCs w:val="20"/>
          <w:lang w:eastAsia="ru-RU"/>
        </w:rPr>
      </w:pPr>
      <w:r w:rsidRPr="00395918">
        <w:rPr>
          <w:rFonts w:ascii="Times New Roman" w:eastAsia="Times New Roman" w:hAnsi="Times New Roman" w:cs="Times New Roman"/>
          <w:color w:val="000000"/>
          <w:sz w:val="20"/>
          <w:szCs w:val="20"/>
          <w:lang w:eastAsia="ru-RU"/>
        </w:rPr>
        <w:t>Редактор</w:t>
      </w:r>
      <w:r w:rsidR="009C2BC3">
        <w:rPr>
          <w:rFonts w:ascii="Times New Roman" w:eastAsia="Times New Roman" w:hAnsi="Times New Roman" w:cs="Times New Roman"/>
          <w:color w:val="000000"/>
          <w:sz w:val="20"/>
          <w:szCs w:val="20"/>
          <w:lang w:eastAsia="ru-RU"/>
        </w:rPr>
        <w:t xml:space="preserve">     </w:t>
      </w:r>
      <w:r w:rsidRPr="00395918">
        <w:rPr>
          <w:rFonts w:ascii="Times New Roman" w:eastAsia="Times New Roman" w:hAnsi="Times New Roman" w:cs="Times New Roman"/>
          <w:color w:val="000000"/>
          <w:sz w:val="20"/>
          <w:szCs w:val="20"/>
          <w:lang w:eastAsia="ru-RU"/>
        </w:rPr>
        <w:t>О. А. Хілуха</w:t>
      </w:r>
    </w:p>
    <w:p w14:paraId="1F353972" w14:textId="77777777" w:rsidR="00395918" w:rsidRPr="00395918" w:rsidRDefault="00395918" w:rsidP="00395918">
      <w:pPr>
        <w:widowControl w:val="0"/>
        <w:autoSpaceDE w:val="0"/>
        <w:autoSpaceDN w:val="0"/>
        <w:adjustRightInd w:val="0"/>
        <w:spacing w:after="0" w:line="240" w:lineRule="auto"/>
        <w:ind w:firstLine="284"/>
        <w:jc w:val="center"/>
        <w:rPr>
          <w:rFonts w:ascii="Times New Roman" w:eastAsia="Times New Roman" w:hAnsi="Times New Roman" w:cs="Times New Roman"/>
          <w:color w:val="000000"/>
          <w:sz w:val="20"/>
          <w:szCs w:val="20"/>
          <w:lang w:eastAsia="ru-RU"/>
        </w:rPr>
      </w:pPr>
    </w:p>
    <w:p w14:paraId="57E98B4D" w14:textId="77777777" w:rsidR="00395918" w:rsidRPr="00395918" w:rsidRDefault="00395918" w:rsidP="00395918">
      <w:pPr>
        <w:widowControl w:val="0"/>
        <w:autoSpaceDE w:val="0"/>
        <w:autoSpaceDN w:val="0"/>
        <w:adjustRightInd w:val="0"/>
        <w:spacing w:after="0" w:line="240" w:lineRule="auto"/>
        <w:ind w:firstLine="284"/>
        <w:jc w:val="center"/>
        <w:rPr>
          <w:rFonts w:ascii="Times New Roman" w:eastAsia="Times New Roman" w:hAnsi="Times New Roman" w:cs="Times New Roman"/>
          <w:color w:val="000000"/>
          <w:sz w:val="20"/>
          <w:szCs w:val="20"/>
          <w:lang w:eastAsia="ru-RU"/>
        </w:rPr>
      </w:pPr>
    </w:p>
    <w:p w14:paraId="3591EE5A" w14:textId="77777777" w:rsidR="00395918" w:rsidRPr="00395918" w:rsidRDefault="00395918" w:rsidP="00395918">
      <w:pPr>
        <w:widowControl w:val="0"/>
        <w:autoSpaceDE w:val="0"/>
        <w:autoSpaceDN w:val="0"/>
        <w:adjustRightInd w:val="0"/>
        <w:spacing w:after="0" w:line="240" w:lineRule="auto"/>
        <w:ind w:firstLine="284"/>
        <w:jc w:val="both"/>
        <w:rPr>
          <w:rFonts w:ascii="Times New Roman" w:eastAsia="Times New Roman" w:hAnsi="Times New Roman" w:cs="Times New Roman"/>
          <w:color w:val="000000"/>
          <w:sz w:val="20"/>
          <w:szCs w:val="20"/>
          <w:lang w:eastAsia="ru-RU"/>
        </w:rPr>
      </w:pPr>
    </w:p>
    <w:p w14:paraId="3A71C352" w14:textId="77777777" w:rsidR="00395918" w:rsidRPr="00395918" w:rsidRDefault="00395918" w:rsidP="00395918">
      <w:pPr>
        <w:widowControl w:val="0"/>
        <w:autoSpaceDE w:val="0"/>
        <w:autoSpaceDN w:val="0"/>
        <w:adjustRightInd w:val="0"/>
        <w:spacing w:after="0" w:line="240" w:lineRule="auto"/>
        <w:ind w:firstLine="284"/>
        <w:jc w:val="both"/>
        <w:rPr>
          <w:rFonts w:ascii="Times New Roman" w:eastAsia="Times New Roman" w:hAnsi="Times New Roman" w:cs="Times New Roman"/>
          <w:color w:val="000000"/>
          <w:sz w:val="20"/>
          <w:szCs w:val="20"/>
          <w:lang w:eastAsia="ru-RU"/>
        </w:rPr>
      </w:pPr>
    </w:p>
    <w:p w14:paraId="395EE559" w14:textId="77777777" w:rsidR="00395918" w:rsidRPr="00395918" w:rsidRDefault="00395918" w:rsidP="00395918">
      <w:pPr>
        <w:widowControl w:val="0"/>
        <w:autoSpaceDE w:val="0"/>
        <w:autoSpaceDN w:val="0"/>
        <w:adjustRightInd w:val="0"/>
        <w:spacing w:after="0" w:line="240" w:lineRule="auto"/>
        <w:ind w:firstLine="284"/>
        <w:jc w:val="both"/>
        <w:rPr>
          <w:rFonts w:ascii="Times New Roman" w:eastAsia="Times New Roman" w:hAnsi="Times New Roman" w:cs="Times New Roman"/>
          <w:color w:val="000000"/>
          <w:sz w:val="20"/>
          <w:szCs w:val="20"/>
          <w:lang w:eastAsia="ru-RU"/>
        </w:rPr>
      </w:pPr>
    </w:p>
    <w:p w14:paraId="089168E4" w14:textId="77777777" w:rsidR="00395918" w:rsidRPr="00395918" w:rsidRDefault="00395918" w:rsidP="00395918">
      <w:pPr>
        <w:widowControl w:val="0"/>
        <w:autoSpaceDE w:val="0"/>
        <w:autoSpaceDN w:val="0"/>
        <w:adjustRightInd w:val="0"/>
        <w:spacing w:after="0" w:line="240" w:lineRule="auto"/>
        <w:ind w:firstLine="284"/>
        <w:jc w:val="both"/>
        <w:rPr>
          <w:rFonts w:ascii="Times New Roman" w:eastAsia="Times New Roman" w:hAnsi="Times New Roman" w:cs="Times New Roman"/>
          <w:color w:val="000000"/>
          <w:sz w:val="20"/>
          <w:szCs w:val="20"/>
          <w:lang w:eastAsia="ru-RU"/>
        </w:rPr>
      </w:pPr>
    </w:p>
    <w:p w14:paraId="4D71B956" w14:textId="77777777" w:rsidR="00395918" w:rsidRPr="00395918" w:rsidRDefault="00395918" w:rsidP="00395918">
      <w:pPr>
        <w:widowControl w:val="0"/>
        <w:autoSpaceDE w:val="0"/>
        <w:autoSpaceDN w:val="0"/>
        <w:adjustRightInd w:val="0"/>
        <w:spacing w:after="0" w:line="240" w:lineRule="auto"/>
        <w:ind w:firstLine="284"/>
        <w:jc w:val="both"/>
        <w:rPr>
          <w:rFonts w:ascii="Times New Roman" w:eastAsia="Times New Roman" w:hAnsi="Times New Roman" w:cs="Times New Roman"/>
          <w:color w:val="000000"/>
          <w:sz w:val="20"/>
          <w:szCs w:val="20"/>
          <w:lang w:eastAsia="ru-RU"/>
        </w:rPr>
      </w:pPr>
    </w:p>
    <w:p w14:paraId="1EDFEF29" w14:textId="77777777" w:rsidR="00395918" w:rsidRPr="00395918" w:rsidRDefault="00395918" w:rsidP="00395918">
      <w:pPr>
        <w:widowControl w:val="0"/>
        <w:autoSpaceDE w:val="0"/>
        <w:autoSpaceDN w:val="0"/>
        <w:adjustRightInd w:val="0"/>
        <w:spacing w:after="0" w:line="240" w:lineRule="auto"/>
        <w:ind w:firstLine="284"/>
        <w:jc w:val="center"/>
        <w:rPr>
          <w:rFonts w:ascii="Times New Roman" w:eastAsia="Times New Roman" w:hAnsi="Times New Roman" w:cs="Times New Roman"/>
          <w:color w:val="000000"/>
          <w:sz w:val="20"/>
          <w:szCs w:val="20"/>
          <w:lang w:eastAsia="ru-RU"/>
        </w:rPr>
      </w:pPr>
      <w:r w:rsidRPr="00395918">
        <w:rPr>
          <w:rFonts w:ascii="Times New Roman" w:eastAsia="Times New Roman" w:hAnsi="Times New Roman" w:cs="Times New Roman"/>
          <w:color w:val="000000"/>
          <w:sz w:val="20"/>
          <w:szCs w:val="20"/>
          <w:lang w:eastAsia="ru-RU"/>
        </w:rPr>
        <w:t xml:space="preserve">Підп. до друку _________ 2025 р. </w:t>
      </w:r>
    </w:p>
    <w:p w14:paraId="0FE6C659" w14:textId="77777777" w:rsidR="00395918" w:rsidRPr="00395918" w:rsidRDefault="00395918" w:rsidP="00395918">
      <w:pPr>
        <w:widowControl w:val="0"/>
        <w:autoSpaceDE w:val="0"/>
        <w:autoSpaceDN w:val="0"/>
        <w:adjustRightInd w:val="0"/>
        <w:spacing w:after="0" w:line="240" w:lineRule="auto"/>
        <w:ind w:firstLine="284"/>
        <w:jc w:val="center"/>
        <w:rPr>
          <w:rFonts w:ascii="Times New Roman" w:eastAsia="Times New Roman" w:hAnsi="Times New Roman" w:cs="Times New Roman"/>
          <w:color w:val="000000"/>
          <w:sz w:val="20"/>
          <w:szCs w:val="20"/>
          <w:lang w:eastAsia="ru-RU"/>
        </w:rPr>
      </w:pPr>
      <w:r w:rsidRPr="00395918">
        <w:rPr>
          <w:rFonts w:ascii="Times New Roman" w:eastAsia="Times New Roman" w:hAnsi="Times New Roman" w:cs="Times New Roman"/>
          <w:color w:val="000000"/>
          <w:sz w:val="20"/>
          <w:szCs w:val="20"/>
          <w:lang w:eastAsia="ru-RU"/>
        </w:rPr>
        <w:t xml:space="preserve">Формат 60х84/16. Папір офс. Гарнітура Таймс. </w:t>
      </w:r>
    </w:p>
    <w:p w14:paraId="2353FEA1" w14:textId="77777777" w:rsidR="00395918" w:rsidRPr="00395918" w:rsidRDefault="00395918" w:rsidP="00395918">
      <w:pPr>
        <w:widowControl w:val="0"/>
        <w:autoSpaceDE w:val="0"/>
        <w:autoSpaceDN w:val="0"/>
        <w:adjustRightInd w:val="0"/>
        <w:spacing w:after="0" w:line="240" w:lineRule="auto"/>
        <w:ind w:firstLine="284"/>
        <w:jc w:val="center"/>
        <w:rPr>
          <w:rFonts w:ascii="Times New Roman" w:eastAsia="Times New Roman" w:hAnsi="Times New Roman" w:cs="Times New Roman"/>
          <w:color w:val="000000"/>
          <w:sz w:val="20"/>
          <w:szCs w:val="20"/>
          <w:lang w:eastAsia="ru-RU"/>
        </w:rPr>
      </w:pPr>
      <w:r w:rsidRPr="00395918">
        <w:rPr>
          <w:rFonts w:ascii="Times New Roman" w:eastAsia="Times New Roman" w:hAnsi="Times New Roman" w:cs="Times New Roman"/>
          <w:color w:val="000000"/>
          <w:sz w:val="20"/>
          <w:szCs w:val="20"/>
          <w:lang w:eastAsia="ru-RU"/>
        </w:rPr>
        <w:t xml:space="preserve">Ум. друк. арк. ___. Обл.-вид. арк. ___. </w:t>
      </w:r>
    </w:p>
    <w:p w14:paraId="685C261A" w14:textId="77777777" w:rsidR="00395918" w:rsidRPr="00395918" w:rsidRDefault="00395918" w:rsidP="00395918">
      <w:pPr>
        <w:widowControl w:val="0"/>
        <w:autoSpaceDE w:val="0"/>
        <w:autoSpaceDN w:val="0"/>
        <w:adjustRightInd w:val="0"/>
        <w:spacing w:after="0" w:line="240" w:lineRule="auto"/>
        <w:ind w:firstLine="284"/>
        <w:jc w:val="center"/>
        <w:rPr>
          <w:rFonts w:ascii="Times New Roman" w:eastAsia="Times New Roman" w:hAnsi="Times New Roman" w:cs="Times New Roman"/>
          <w:color w:val="000000"/>
          <w:sz w:val="20"/>
          <w:szCs w:val="20"/>
          <w:lang w:eastAsia="ru-RU"/>
        </w:rPr>
      </w:pPr>
      <w:r w:rsidRPr="00395918">
        <w:rPr>
          <w:rFonts w:ascii="Times New Roman" w:eastAsia="Times New Roman" w:hAnsi="Times New Roman" w:cs="Times New Roman"/>
          <w:color w:val="000000"/>
          <w:sz w:val="20"/>
          <w:szCs w:val="20"/>
          <w:lang w:eastAsia="ru-RU"/>
        </w:rPr>
        <w:t>Тираж ___ прим. Зам.  ___.</w:t>
      </w:r>
    </w:p>
    <w:p w14:paraId="322E9574" w14:textId="77777777" w:rsidR="00395918" w:rsidRPr="00395918" w:rsidRDefault="00395918" w:rsidP="00395918">
      <w:pPr>
        <w:widowControl w:val="0"/>
        <w:autoSpaceDE w:val="0"/>
        <w:autoSpaceDN w:val="0"/>
        <w:adjustRightInd w:val="0"/>
        <w:spacing w:after="0" w:line="240" w:lineRule="auto"/>
        <w:ind w:firstLine="284"/>
        <w:jc w:val="both"/>
        <w:rPr>
          <w:rFonts w:ascii="Times New Roman" w:eastAsia="Times New Roman" w:hAnsi="Times New Roman" w:cs="Times New Roman"/>
          <w:color w:val="000000"/>
          <w:sz w:val="20"/>
          <w:szCs w:val="20"/>
          <w:lang w:eastAsia="ru-RU"/>
        </w:rPr>
      </w:pPr>
    </w:p>
    <w:p w14:paraId="40284D18" w14:textId="77777777" w:rsidR="00395918" w:rsidRPr="00395918" w:rsidRDefault="00395918" w:rsidP="00395918">
      <w:pPr>
        <w:widowControl w:val="0"/>
        <w:autoSpaceDE w:val="0"/>
        <w:autoSpaceDN w:val="0"/>
        <w:adjustRightInd w:val="0"/>
        <w:spacing w:after="0" w:line="240" w:lineRule="auto"/>
        <w:ind w:firstLine="284"/>
        <w:jc w:val="both"/>
        <w:rPr>
          <w:rFonts w:ascii="Times New Roman" w:eastAsia="Times New Roman" w:hAnsi="Times New Roman" w:cs="Times New Roman"/>
          <w:color w:val="000000"/>
          <w:sz w:val="20"/>
          <w:szCs w:val="20"/>
          <w:lang w:eastAsia="ru-RU"/>
        </w:rPr>
      </w:pPr>
    </w:p>
    <w:p w14:paraId="65227645" w14:textId="77777777" w:rsidR="00395918" w:rsidRPr="00395918" w:rsidRDefault="00395918" w:rsidP="00395918">
      <w:pPr>
        <w:widowControl w:val="0"/>
        <w:autoSpaceDE w:val="0"/>
        <w:autoSpaceDN w:val="0"/>
        <w:adjustRightInd w:val="0"/>
        <w:spacing w:after="0" w:line="240" w:lineRule="auto"/>
        <w:ind w:firstLine="284"/>
        <w:jc w:val="both"/>
        <w:rPr>
          <w:rFonts w:ascii="Times New Roman" w:eastAsia="Times New Roman" w:hAnsi="Times New Roman" w:cs="Times New Roman"/>
          <w:color w:val="000000"/>
          <w:sz w:val="20"/>
          <w:szCs w:val="20"/>
          <w:lang w:eastAsia="ru-RU"/>
        </w:rPr>
      </w:pPr>
    </w:p>
    <w:p w14:paraId="76202C20" w14:textId="77777777" w:rsidR="00395918" w:rsidRPr="00395918" w:rsidRDefault="00395918" w:rsidP="00395918">
      <w:pPr>
        <w:widowControl w:val="0"/>
        <w:autoSpaceDE w:val="0"/>
        <w:autoSpaceDN w:val="0"/>
        <w:adjustRightInd w:val="0"/>
        <w:spacing w:after="0" w:line="240" w:lineRule="auto"/>
        <w:ind w:firstLine="284"/>
        <w:jc w:val="both"/>
        <w:rPr>
          <w:rFonts w:ascii="Times New Roman" w:eastAsia="Times New Roman" w:hAnsi="Times New Roman" w:cs="Times New Roman"/>
          <w:color w:val="000000"/>
          <w:sz w:val="20"/>
          <w:szCs w:val="20"/>
          <w:lang w:eastAsia="ru-RU"/>
        </w:rPr>
      </w:pPr>
    </w:p>
    <w:p w14:paraId="4B49B984" w14:textId="77777777" w:rsidR="00395918" w:rsidRPr="00395918" w:rsidRDefault="00395918" w:rsidP="00395918">
      <w:pPr>
        <w:widowControl w:val="0"/>
        <w:autoSpaceDE w:val="0"/>
        <w:autoSpaceDN w:val="0"/>
        <w:adjustRightInd w:val="0"/>
        <w:spacing w:after="0" w:line="240" w:lineRule="auto"/>
        <w:ind w:firstLine="284"/>
        <w:jc w:val="both"/>
        <w:rPr>
          <w:rFonts w:ascii="Times New Roman" w:eastAsia="Times New Roman" w:hAnsi="Times New Roman" w:cs="Times New Roman"/>
          <w:color w:val="000000"/>
          <w:sz w:val="20"/>
          <w:szCs w:val="20"/>
          <w:lang w:eastAsia="ru-RU"/>
        </w:rPr>
      </w:pPr>
    </w:p>
    <w:p w14:paraId="665EDA63" w14:textId="77777777" w:rsidR="00395918" w:rsidRPr="00395918" w:rsidRDefault="00395918" w:rsidP="00395918">
      <w:pPr>
        <w:widowControl w:val="0"/>
        <w:autoSpaceDE w:val="0"/>
        <w:autoSpaceDN w:val="0"/>
        <w:adjustRightInd w:val="0"/>
        <w:spacing w:after="0" w:line="240" w:lineRule="auto"/>
        <w:ind w:firstLine="284"/>
        <w:jc w:val="both"/>
        <w:rPr>
          <w:rFonts w:ascii="Times New Roman" w:eastAsia="Times New Roman" w:hAnsi="Times New Roman" w:cs="Times New Roman"/>
          <w:color w:val="000000"/>
          <w:sz w:val="20"/>
          <w:szCs w:val="20"/>
          <w:lang w:eastAsia="ru-RU"/>
        </w:rPr>
      </w:pPr>
    </w:p>
    <w:p w14:paraId="5FECF535" w14:textId="77777777" w:rsidR="00395918" w:rsidRPr="00395918" w:rsidRDefault="00395918" w:rsidP="00395918">
      <w:pPr>
        <w:widowControl w:val="0"/>
        <w:autoSpaceDE w:val="0"/>
        <w:autoSpaceDN w:val="0"/>
        <w:adjustRightInd w:val="0"/>
        <w:spacing w:after="0" w:line="240" w:lineRule="auto"/>
        <w:ind w:firstLine="284"/>
        <w:jc w:val="both"/>
        <w:rPr>
          <w:rFonts w:ascii="Times New Roman" w:eastAsia="Times New Roman" w:hAnsi="Times New Roman" w:cs="Times New Roman"/>
          <w:color w:val="000000"/>
          <w:sz w:val="20"/>
          <w:szCs w:val="20"/>
          <w:lang w:eastAsia="ru-RU"/>
        </w:rPr>
      </w:pPr>
    </w:p>
    <w:p w14:paraId="19760F4D" w14:textId="5FE4041C" w:rsidR="00395918" w:rsidRPr="00395918" w:rsidRDefault="00395918" w:rsidP="00395918">
      <w:pPr>
        <w:widowControl w:val="0"/>
        <w:autoSpaceDE w:val="0"/>
        <w:autoSpaceDN w:val="0"/>
        <w:adjustRightInd w:val="0"/>
        <w:spacing w:after="0" w:line="240" w:lineRule="auto"/>
        <w:ind w:firstLine="284"/>
        <w:jc w:val="center"/>
        <w:rPr>
          <w:rFonts w:ascii="Times New Roman" w:eastAsia="Times New Roman" w:hAnsi="Times New Roman" w:cs="Times New Roman"/>
          <w:color w:val="000000"/>
          <w:sz w:val="20"/>
          <w:szCs w:val="20"/>
          <w:lang w:eastAsia="ru-RU"/>
        </w:rPr>
      </w:pPr>
      <w:r w:rsidRPr="00395918">
        <w:rPr>
          <w:rFonts w:ascii="Times New Roman" w:eastAsia="Times New Roman" w:hAnsi="Times New Roman" w:cs="Times New Roman"/>
          <w:color w:val="000000"/>
          <w:sz w:val="20"/>
          <w:szCs w:val="20"/>
          <w:lang w:eastAsia="ru-RU"/>
        </w:rPr>
        <w:t>Луцьк</w:t>
      </w:r>
      <w:r w:rsidR="00C37F1C">
        <w:rPr>
          <w:rFonts w:ascii="Times New Roman" w:eastAsia="Times New Roman" w:hAnsi="Times New Roman" w:cs="Times New Roman"/>
          <w:color w:val="000000"/>
          <w:sz w:val="20"/>
          <w:szCs w:val="20"/>
          <w:lang w:eastAsia="ru-RU"/>
        </w:rPr>
        <w:t>ий</w:t>
      </w:r>
      <w:r w:rsidRPr="00395918">
        <w:rPr>
          <w:rFonts w:ascii="Times New Roman" w:eastAsia="Times New Roman" w:hAnsi="Times New Roman" w:cs="Times New Roman"/>
          <w:color w:val="000000"/>
          <w:sz w:val="20"/>
          <w:szCs w:val="20"/>
          <w:lang w:eastAsia="ru-RU"/>
        </w:rPr>
        <w:t xml:space="preserve"> національн</w:t>
      </w:r>
      <w:r w:rsidR="00C37F1C">
        <w:rPr>
          <w:rFonts w:ascii="Times New Roman" w:eastAsia="Times New Roman" w:hAnsi="Times New Roman" w:cs="Times New Roman"/>
          <w:color w:val="000000"/>
          <w:sz w:val="20"/>
          <w:szCs w:val="20"/>
          <w:lang w:eastAsia="ru-RU"/>
        </w:rPr>
        <w:t>ий</w:t>
      </w:r>
      <w:r w:rsidRPr="00395918">
        <w:rPr>
          <w:rFonts w:ascii="Times New Roman" w:eastAsia="Times New Roman" w:hAnsi="Times New Roman" w:cs="Times New Roman"/>
          <w:color w:val="000000"/>
          <w:sz w:val="20"/>
          <w:szCs w:val="20"/>
          <w:lang w:eastAsia="ru-RU"/>
        </w:rPr>
        <w:t xml:space="preserve"> технічн</w:t>
      </w:r>
      <w:r w:rsidR="00C37F1C">
        <w:rPr>
          <w:rFonts w:ascii="Times New Roman" w:eastAsia="Times New Roman" w:hAnsi="Times New Roman" w:cs="Times New Roman"/>
          <w:color w:val="000000"/>
          <w:sz w:val="20"/>
          <w:szCs w:val="20"/>
          <w:lang w:eastAsia="ru-RU"/>
        </w:rPr>
        <w:t>ий</w:t>
      </w:r>
      <w:r w:rsidRPr="00395918">
        <w:rPr>
          <w:rFonts w:ascii="Times New Roman" w:eastAsia="Times New Roman" w:hAnsi="Times New Roman" w:cs="Times New Roman"/>
          <w:color w:val="000000"/>
          <w:sz w:val="20"/>
          <w:szCs w:val="20"/>
          <w:lang w:eastAsia="ru-RU"/>
        </w:rPr>
        <w:t xml:space="preserve"> університет</w:t>
      </w:r>
    </w:p>
    <w:p w14:paraId="6135B923" w14:textId="77777777" w:rsidR="00395918" w:rsidRPr="00395918" w:rsidRDefault="00395918" w:rsidP="00395918">
      <w:pPr>
        <w:widowControl w:val="0"/>
        <w:autoSpaceDE w:val="0"/>
        <w:autoSpaceDN w:val="0"/>
        <w:adjustRightInd w:val="0"/>
        <w:spacing w:after="0" w:line="240" w:lineRule="auto"/>
        <w:ind w:firstLine="284"/>
        <w:jc w:val="center"/>
        <w:rPr>
          <w:rFonts w:ascii="Times New Roman" w:eastAsia="Times New Roman" w:hAnsi="Times New Roman" w:cs="Times New Roman"/>
          <w:color w:val="000000"/>
          <w:sz w:val="20"/>
          <w:szCs w:val="20"/>
          <w:lang w:eastAsia="ru-RU"/>
        </w:rPr>
      </w:pPr>
      <w:r w:rsidRPr="00395918">
        <w:rPr>
          <w:rFonts w:ascii="Times New Roman" w:eastAsia="Times New Roman" w:hAnsi="Times New Roman" w:cs="Times New Roman"/>
          <w:color w:val="000000"/>
          <w:sz w:val="20"/>
          <w:szCs w:val="20"/>
          <w:lang w:eastAsia="ru-RU"/>
        </w:rPr>
        <w:t>43018  м. Луцьк, вул. Львівська, 75</w:t>
      </w:r>
    </w:p>
    <w:p w14:paraId="28F5F97C" w14:textId="77777777" w:rsidR="00395918" w:rsidRPr="00395918" w:rsidRDefault="00395918" w:rsidP="00395918">
      <w:pPr>
        <w:widowControl w:val="0"/>
        <w:autoSpaceDE w:val="0"/>
        <w:autoSpaceDN w:val="0"/>
        <w:adjustRightInd w:val="0"/>
        <w:spacing w:after="0" w:line="240" w:lineRule="auto"/>
        <w:ind w:firstLine="284"/>
        <w:jc w:val="center"/>
        <w:rPr>
          <w:rFonts w:ascii="Times New Roman" w:eastAsia="Times New Roman" w:hAnsi="Times New Roman" w:cs="Times New Roman"/>
          <w:b/>
          <w:bCs/>
          <w:sz w:val="20"/>
          <w:szCs w:val="20"/>
          <w:lang w:eastAsia="ru-RU"/>
        </w:rPr>
      </w:pPr>
    </w:p>
    <w:p w14:paraId="7F70DD5D" w14:textId="77777777" w:rsidR="00395918" w:rsidRPr="00395918" w:rsidRDefault="00395918" w:rsidP="00395918">
      <w:pPr>
        <w:widowControl w:val="0"/>
        <w:autoSpaceDE w:val="0"/>
        <w:autoSpaceDN w:val="0"/>
        <w:adjustRightInd w:val="0"/>
        <w:spacing w:after="0" w:line="240" w:lineRule="auto"/>
        <w:ind w:firstLine="284"/>
        <w:jc w:val="center"/>
        <w:rPr>
          <w:rFonts w:ascii="Times New Roman" w:eastAsia="Times New Roman" w:hAnsi="Times New Roman" w:cs="Times New Roman"/>
          <w:b/>
          <w:bCs/>
          <w:sz w:val="20"/>
          <w:szCs w:val="20"/>
          <w:lang w:eastAsia="ru-RU"/>
        </w:rPr>
      </w:pPr>
    </w:p>
    <w:p w14:paraId="27E93864" w14:textId="77777777" w:rsidR="00395918" w:rsidRPr="00395918" w:rsidRDefault="00395918" w:rsidP="00395918">
      <w:pPr>
        <w:widowControl w:val="0"/>
        <w:autoSpaceDE w:val="0"/>
        <w:autoSpaceDN w:val="0"/>
        <w:adjustRightInd w:val="0"/>
        <w:spacing w:after="0" w:line="240" w:lineRule="auto"/>
        <w:ind w:firstLine="284"/>
        <w:jc w:val="center"/>
        <w:rPr>
          <w:rFonts w:ascii="Times New Roman" w:eastAsia="Times New Roman" w:hAnsi="Times New Roman" w:cs="Times New Roman"/>
          <w:b/>
          <w:bCs/>
          <w:sz w:val="20"/>
          <w:szCs w:val="20"/>
          <w:lang w:eastAsia="ru-RU"/>
        </w:rPr>
      </w:pPr>
    </w:p>
    <w:p w14:paraId="392514B1" w14:textId="77777777" w:rsidR="00395918" w:rsidRPr="00395918" w:rsidRDefault="00395918" w:rsidP="00395918">
      <w:pPr>
        <w:widowControl w:val="0"/>
        <w:autoSpaceDE w:val="0"/>
        <w:autoSpaceDN w:val="0"/>
        <w:adjustRightInd w:val="0"/>
        <w:spacing w:after="0" w:line="240" w:lineRule="auto"/>
        <w:ind w:firstLine="284"/>
        <w:jc w:val="center"/>
        <w:rPr>
          <w:rFonts w:ascii="Times New Roman" w:eastAsia="Times New Roman" w:hAnsi="Times New Roman" w:cs="Times New Roman"/>
          <w:b/>
          <w:bCs/>
          <w:sz w:val="20"/>
          <w:szCs w:val="20"/>
          <w:lang w:eastAsia="ru-RU"/>
        </w:rPr>
      </w:pPr>
    </w:p>
    <w:p w14:paraId="5E97A543" w14:textId="7774E5D6" w:rsidR="00395918" w:rsidRPr="00395918" w:rsidRDefault="00395918" w:rsidP="00395918">
      <w:pPr>
        <w:widowControl w:val="0"/>
        <w:autoSpaceDE w:val="0"/>
        <w:autoSpaceDN w:val="0"/>
        <w:adjustRightInd w:val="0"/>
        <w:spacing w:after="0" w:line="240" w:lineRule="auto"/>
        <w:ind w:firstLine="284"/>
        <w:jc w:val="center"/>
        <w:rPr>
          <w:rFonts w:ascii="Times New Roman" w:eastAsia="Times New Roman" w:hAnsi="Times New Roman" w:cs="Times New Roman"/>
          <w:b/>
          <w:bCs/>
          <w:sz w:val="20"/>
          <w:szCs w:val="20"/>
          <w:lang w:eastAsia="ru-RU"/>
        </w:rPr>
      </w:pPr>
      <w:r w:rsidRPr="00395918">
        <w:rPr>
          <w:rFonts w:ascii="Times New Roman" w:eastAsia="Times New Roman" w:hAnsi="Times New Roman" w:cs="Times New Roman"/>
          <w:b/>
          <w:bCs/>
          <w:noProof/>
          <w:sz w:val="20"/>
          <w:szCs w:val="20"/>
          <w:lang w:eastAsia="ru-RU"/>
        </w:rPr>
        <mc:AlternateContent>
          <mc:Choice Requires="wps">
            <w:drawing>
              <wp:anchor distT="0" distB="0" distL="114300" distR="114300" simplePos="0" relativeHeight="251699200" behindDoc="0" locked="0" layoutInCell="1" allowOverlap="1" wp14:anchorId="1D1B2707" wp14:editId="5DAAAB27">
                <wp:simplePos x="0" y="0"/>
                <wp:positionH relativeFrom="column">
                  <wp:posOffset>1459865</wp:posOffset>
                </wp:positionH>
                <wp:positionV relativeFrom="paragraph">
                  <wp:posOffset>136525</wp:posOffset>
                </wp:positionV>
                <wp:extent cx="1085850" cy="571500"/>
                <wp:effectExtent l="9525" t="9525" r="9525" b="9525"/>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5850" cy="5715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00EE8C" id="Rectangle 10" o:spid="_x0000_s1026" style="position:absolute;margin-left:114.95pt;margin-top:10.75pt;width:85.5pt;height:4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0D8HgIAAD4EAAAOAAAAZHJzL2Uyb0RvYy54bWysU1Fv0zAQfkfiP1h+p0mqhnVR02nqKEIa&#10;bGLwA1zHaSwcnzm7Tcuv5+x0pYMXhPCD5fOdP3/33d3i5tAbtlfoNdiaF5OcM2UlNNpua/71y/rN&#10;nDMfhG2EAatqflSe3yxfv1oMrlJT6MA0ChmBWF8NruZdCK7KMi871Qs/AacsOVvAXgQycZs1KAZC&#10;7002zfO32QDYOASpvKfbu9HJlwm/bZUMD23rVWCm5sQtpB3Tvol7tlyIaovCdVqeaIh/YNELbenT&#10;M9SdCILtUP8B1WuJ4KENEwl9Bm2rpUo5UDZF/ls2T51wKuVC4nh3lsn/P1j5af+ITDdUO5LHip5q&#10;9JlUE3ZrFKM7EmhwvqK4J/eIMUXv7kF+88zCqqMwdYsIQ6dEQ7SKGJ+9eBANT0/ZZvgIDcGLXYCk&#10;1aHFPgKSCuyQSnI8l0QdApN0WeTzcl4SNUm+8qoo80QpE9Xza4c+vFfQs3ioORL5hC729z5ENqJ6&#10;DknswehmrY1JBm43K4NsL6g91mmlBCjJyzBj2VDz63JaJuQXPv93EL0O1OdG9zWf53GNnRdle2eb&#10;1IVBaDOeibKxJx2jdGMJNtAcSUaEsYlp6OjQAf7gbKAGrrn/vhOoODMfLJXiupjNYscnY1ZeTcnA&#10;S8/m0iOsJKiaB87G4yqMU7JzqLcd/VSk3C3cUvlanZSNpR1ZnchSkybBTwMVp+DSTlG/xn75EwAA&#10;//8DAFBLAwQUAAYACAAAACEAr/8cP90AAAAKAQAADwAAAGRycy9kb3ducmV2LnhtbEyPQU/DMAyF&#10;70j8h8hI3FjSaiBWmk4wirhwGGO7e4lpK5qkarKt49djTnCz3/v0/FwuJ9eLI42xC15DNlMgyJtg&#10;O99o2H683NyDiAm9xT540nCmCMvq8qLEwoaTf6fjJjWCQ3wsUEOb0lBIGU1LDuMsDOTZ+wyjw8Tr&#10;2Eg74onDXS9zpe6kw87zhRYHWrVkvjYHp2GN+Lz+fjXmqT6/zWta7WoKvdbXV9PjA4hEU/qD4bc+&#10;V4eKO+3Dwdsoeg15vlgwykN2C4KBuVIs7JnMWJFVKf+/UP0AAAD//wMAUEsBAi0AFAAGAAgAAAAh&#10;ALaDOJL+AAAA4QEAABMAAAAAAAAAAAAAAAAAAAAAAFtDb250ZW50X1R5cGVzXS54bWxQSwECLQAU&#10;AAYACAAAACEAOP0h/9YAAACUAQAACwAAAAAAAAAAAAAAAAAvAQAAX3JlbHMvLnJlbHNQSwECLQAU&#10;AAYACAAAACEAVttA/B4CAAA+BAAADgAAAAAAAAAAAAAAAAAuAgAAZHJzL2Uyb0RvYy54bWxQSwEC&#10;LQAUAAYACAAAACEAr/8cP90AAAAKAQAADwAAAAAAAAAAAAAAAAB4BAAAZHJzL2Rvd25yZXYueG1s&#10;UEsFBgAAAAAEAAQA8wAAAIIFAAAAAA==&#10;" strokecolor="white"/>
            </w:pict>
          </mc:Fallback>
        </mc:AlternateContent>
      </w:r>
      <w:r w:rsidRPr="00395918">
        <w:rPr>
          <w:rFonts w:ascii="Times New Roman" w:eastAsia="Times New Roman" w:hAnsi="Times New Roman" w:cs="Times New Roman"/>
          <w:b/>
          <w:bCs/>
          <w:noProof/>
          <w:sz w:val="20"/>
          <w:szCs w:val="20"/>
          <w:lang w:eastAsia="ru-RU"/>
        </w:rPr>
        <mc:AlternateContent>
          <mc:Choice Requires="wps">
            <w:drawing>
              <wp:anchor distT="0" distB="0" distL="114300" distR="114300" simplePos="0" relativeHeight="251700224" behindDoc="0" locked="0" layoutInCell="1" allowOverlap="1" wp14:anchorId="35B4F61C" wp14:editId="5C557C50">
                <wp:simplePos x="0" y="0"/>
                <wp:positionH relativeFrom="column">
                  <wp:posOffset>1840865</wp:posOffset>
                </wp:positionH>
                <wp:positionV relativeFrom="paragraph">
                  <wp:posOffset>5841365</wp:posOffset>
                </wp:positionV>
                <wp:extent cx="923925" cy="828675"/>
                <wp:effectExtent l="9525" t="8890" r="9525" b="1016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3925" cy="828675"/>
                        </a:xfrm>
                        <a:prstGeom prst="rect">
                          <a:avLst/>
                        </a:prstGeom>
                        <a:solidFill>
                          <a:srgbClr val="FFFFFF"/>
                        </a:solidFill>
                        <a:ln w="9525">
                          <a:solidFill>
                            <a:srgbClr val="FFFFFF"/>
                          </a:solidFill>
                          <a:miter lim="800000"/>
                          <a:headEnd/>
                          <a:tailEnd/>
                        </a:ln>
                      </wps:spPr>
                      <wps:txbx>
                        <w:txbxContent>
                          <w:p w14:paraId="44D3FC9E" w14:textId="77777777" w:rsidR="00395918" w:rsidRDefault="00395918" w:rsidP="0039591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B4F61C" id="Text Box 9" o:spid="_x0000_s1085" type="#_x0000_t202" style="position:absolute;left:0;text-align:left;margin-left:144.95pt;margin-top:459.95pt;width:72.75pt;height:65.2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R1JwIAAFcEAAAOAAAAZHJzL2Uyb0RvYy54bWysVNtu2zAMfR+wfxD0vjjxkjYx4hRdugwD&#10;ugvQ7gNkWbaFSaImKbGzry8lp2m2vRXzgyCK0uHhIen1zaAVOQjnJZiSziZTSoThUEvTlvTH4+7d&#10;khIfmKmZAiNKehSe3mzevln3thA5dKBq4QiCGF/0tqRdCLbIMs87oZmfgBUGnQ04zQKars1qx3pE&#10;1yrLp9OrrAdXWwdceI+nd6OTbhJ+0wgevjWNF4GokiK3kFaX1iqu2WbNitYx20l+osFewUIzaTDo&#10;GeqOBUb2Tv4DpSV34KEJEw46g6aRXKQcMJvZ9K9sHjpmRcoFxfH2LJP/f7D86+G7I7Iu6YoSwzSW&#10;6FEMgXyAgayiOr31BV56sHgtDHiMVU6ZensP/KcnBrYdM624dQ76TrAa2c3iy+zi6YjjI0jVf4Ea&#10;w7B9gAQ0NE5H6VAMguhYpeO5MpEKx8NV/n6VLyjh6Frmy6vrRYrAiufH1vnwSYAmcVNSh4VP4Oxw&#10;70Mkw4rnKzGWByXrnVQqGa6ttsqRA8Mm2aXvhP7HNWVIj0wWyOO1EFoG7HYlNWYxjV+Mw4qo2kdT&#10;p31gUo17pKzMScao3KhhGKoh1StfxsdR4wrqIwrrYOxunEbcdOB+U9JjZ5fU/9ozJyhRnw0WZzWb&#10;z+MoJGO+uM7RcJee6tLDDEeokgZKxu02jOOzt062HUYa28HALRa0kUnsF1Yn/ti9qQanSYvjcWmn&#10;Wy//g80TAAAA//8DAFBLAwQUAAYACAAAACEAG/aBQeAAAAAMAQAADwAAAGRycy9kb3ducmV2Lnht&#10;bEyPwU7DMAyG70i8Q2QkLmhLVrppLU2naQJx3uDCLWu9tqJx2iZbO54e7wQ3W/70+/uzzWRbccHB&#10;N440LOYKBFLhyoYqDZ8fb7M1CB8MlaZ1hBqu6GGT399lJi3dSHu8HEIlOIR8ajTUIXSplL6o0Ro/&#10;dx0S305usCbwOlSyHMzI4baVkVIraU1D/KE2He5qLL4PZ6vBja9X67BX0dPXj33fbfv9Keq1fnyY&#10;ti8gAk7hD4abPqtDzk5Hd6bSi1ZDtE4SRjUki9vARPy8jEEcGVVLFYPMM/m/RP4LAAD//wMAUEsB&#10;Ai0AFAAGAAgAAAAhALaDOJL+AAAA4QEAABMAAAAAAAAAAAAAAAAAAAAAAFtDb250ZW50X1R5cGVz&#10;XS54bWxQSwECLQAUAAYACAAAACEAOP0h/9YAAACUAQAACwAAAAAAAAAAAAAAAAAvAQAAX3JlbHMv&#10;LnJlbHNQSwECLQAUAAYACAAAACEAYbvkdScCAABXBAAADgAAAAAAAAAAAAAAAAAuAgAAZHJzL2Uy&#10;b0RvYy54bWxQSwECLQAUAAYACAAAACEAG/aBQeAAAAAMAQAADwAAAAAAAAAAAAAAAACBBAAAZHJz&#10;L2Rvd25yZXYueG1sUEsFBgAAAAAEAAQA8wAAAI4FAAAAAA==&#10;" strokecolor="white">
                <v:textbox>
                  <w:txbxContent>
                    <w:p w14:paraId="44D3FC9E" w14:textId="77777777" w:rsidR="00395918" w:rsidRDefault="00395918" w:rsidP="00395918"/>
                  </w:txbxContent>
                </v:textbox>
              </v:shape>
            </w:pict>
          </mc:Fallback>
        </mc:AlternateContent>
      </w:r>
      <w:r w:rsidRPr="00395918">
        <w:rPr>
          <w:rFonts w:ascii="Times New Roman" w:eastAsia="Times New Roman" w:hAnsi="Times New Roman" w:cs="Times New Roman"/>
          <w:b/>
          <w:bCs/>
          <w:noProof/>
          <w:sz w:val="20"/>
          <w:szCs w:val="20"/>
          <w:lang w:eastAsia="ru-RU"/>
        </w:rPr>
        <mc:AlternateContent>
          <mc:Choice Requires="wps">
            <w:drawing>
              <wp:anchor distT="0" distB="0" distL="114300" distR="114300" simplePos="0" relativeHeight="251698176" behindDoc="0" locked="0" layoutInCell="1" allowOverlap="1" wp14:anchorId="7A525D58" wp14:editId="4AEA9214">
                <wp:simplePos x="0" y="0"/>
                <wp:positionH relativeFrom="column">
                  <wp:posOffset>1741805</wp:posOffset>
                </wp:positionH>
                <wp:positionV relativeFrom="paragraph">
                  <wp:posOffset>842010</wp:posOffset>
                </wp:positionV>
                <wp:extent cx="1113155" cy="747395"/>
                <wp:effectExtent l="0" t="635" r="0" b="444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3155" cy="7473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AE3F8E" id="Rectangle 7" o:spid="_x0000_s1026" style="position:absolute;margin-left:137.15pt;margin-top:66.3pt;width:87.65pt;height:58.8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4R/QEAANsDAAAOAAAAZHJzL2Uyb0RvYy54bWysU1Fv0zAQfkfiP1h+p2m6lrKo6TR1KkIa&#10;bGLsBziOk1g4PnN2m5Zfz9npSmFviDxYPt/d5+/7fFndHHrD9gq9BlvyfDLlTFkJtbZtyZ+/bd99&#10;4MwHYWthwKqSH5XnN+u3b1aDK9QMOjC1QkYg1heDK3kXgiuyzMtO9cJPwClLyQawF4FCbLMaxUDo&#10;vclm0+n7bACsHYJU3tPp3Zjk64TfNEqGh6bxKjBTcuIW0oppreKarVeiaFG4TssTDfEPLHqhLV16&#10;hroTQbAd6ldQvZYIHpowkdBn0DRaqqSB1OTTv9Q8dcKppIXM8e5sk/9/sPLL/hGZrku+5MyKnp7o&#10;K5kmbGsUW0Z7BucLqnpyjxgFencP8rtnFjYdValbRBg6JWoilcf67I+GGHhqZdXwGWpCF7sAyalD&#10;g30EJA/YIT3I8fwg6hCYpMM8z6/yxYIzSbnlfHl1vUhXiOKl26EPHxX0LG5KjsQ9oYv9vQ+RjShe&#10;ShJ7MLreamNSgG21Mcj2goZjm74Tur8sMzYWW4htI2I8STKjstGhCuojqUQYJ4z+CNp0gD85G2i6&#10;Su5/7AQqzswnS05d5/N5HMcUzBfLGQV4makuM8JKgip54GzcbsI4wjuHuu3opjyJtnBL7jY6CY/O&#10;j6xOZGmCkh+naY8jehmnqt//5PoXAAAA//8DAFBLAwQUAAYACAAAACEAi3QUUt8AAAALAQAADwAA&#10;AGRycy9kb3ducmV2LnhtbEyPwU7DMAyG70i8Q2Qkbiyh7cpWmk4IaSfgwIa0q9d4bUWTlCbdyttj&#10;TnCz9f36/bnczLYXZxpD552G+4UCQa72pnONho/99m4FIkR0BnvvSMM3BdhU11clFsZf3Dudd7ER&#10;XOJCgRraGIdCylC3ZDEs/ECO2cmPFiOvYyPNiBcut71MlMqlxc7xhRYHem6p/txNVgPmmfl6O6Wv&#10;+5cpx3Uzq+3yoLS+vZmfHkFEmuNfGH71WR0qdjr6yZkgeg3JQ5ZylEGa5CA4kWVrHo6MlioFWZXy&#10;/w/VDwAAAP//AwBQSwECLQAUAAYACAAAACEAtoM4kv4AAADhAQAAEwAAAAAAAAAAAAAAAAAAAAAA&#10;W0NvbnRlbnRfVHlwZXNdLnhtbFBLAQItABQABgAIAAAAIQA4/SH/1gAAAJQBAAALAAAAAAAAAAAA&#10;AAAAAC8BAABfcmVscy8ucmVsc1BLAQItABQABgAIAAAAIQBvA+4R/QEAANsDAAAOAAAAAAAAAAAA&#10;AAAAAC4CAABkcnMvZTJvRG9jLnhtbFBLAQItABQABgAIAAAAIQCLdBRS3wAAAAsBAAAPAAAAAAAA&#10;AAAAAAAAAFcEAABkcnMvZG93bnJldi54bWxQSwUGAAAAAAQABADzAAAAYwUAAAAA&#10;" stroked="f"/>
            </w:pict>
          </mc:Fallback>
        </mc:AlternateContent>
      </w:r>
    </w:p>
    <w:p w14:paraId="7ED185F0" w14:textId="77777777" w:rsidR="00071B2E" w:rsidRPr="008F46D2" w:rsidRDefault="00071B2E" w:rsidP="0012192B">
      <w:pPr>
        <w:adjustRightInd w:val="0"/>
        <w:snapToGrid w:val="0"/>
        <w:spacing w:after="0" w:line="240" w:lineRule="auto"/>
        <w:ind w:firstLine="567"/>
        <w:jc w:val="both"/>
        <w:rPr>
          <w:rFonts w:ascii="Times New Roman" w:hAnsi="Times New Roman" w:cs="Times New Roman"/>
          <w:sz w:val="16"/>
          <w:szCs w:val="16"/>
        </w:rPr>
      </w:pPr>
    </w:p>
    <w:sectPr w:rsidR="00071B2E" w:rsidRPr="008F46D2" w:rsidSect="009C2BC3">
      <w:headerReference w:type="even" r:id="rId12"/>
      <w:footerReference w:type="even" r:id="rId13"/>
      <w:footerReference w:type="default" r:id="rId14"/>
      <w:type w:val="nextColumn"/>
      <w:pgSz w:w="8391" w:h="11906" w:code="11"/>
      <w:pgMar w:top="851" w:right="851" w:bottom="851" w:left="851" w:header="737"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63AD9F" w14:textId="77777777" w:rsidR="00FF75BB" w:rsidRDefault="00FF75BB" w:rsidP="00141B6B">
      <w:pPr>
        <w:spacing w:after="0" w:line="240" w:lineRule="auto"/>
      </w:pPr>
      <w:r>
        <w:separator/>
      </w:r>
    </w:p>
  </w:endnote>
  <w:endnote w:type="continuationSeparator" w:id="0">
    <w:p w14:paraId="22317BD3" w14:textId="77777777" w:rsidR="00FF75BB" w:rsidRDefault="00FF75BB" w:rsidP="00141B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Microsoft Sans Serif">
    <w:panose1 w:val="020B0604020202020204"/>
    <w:charset w:val="00"/>
    <w:family w:val="swiss"/>
    <w:pitch w:val="variable"/>
    <w:sig w:usb0="E5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Unicode MS">
    <w:altName w:val="Yu Gothic"/>
    <w:panose1 w:val="020B0604020202020204"/>
    <w:charset w:val="80"/>
    <w:family w:val="swiss"/>
    <w:pitch w:val="variable"/>
    <w:sig w:usb0="00000000" w:usb1="E9DFFFFF" w:usb2="0000003F" w:usb3="00000000" w:csb0="003F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30A2A8" w14:textId="77777777" w:rsidR="00884A71" w:rsidRDefault="00884A71">
    <w:pPr>
      <w:pStyle w:val="BodyText"/>
      <w:spacing w:line="14" w:lineRule="auto"/>
      <w:rPr>
        <w:sz w:val="20"/>
      </w:rPr>
    </w:pPr>
    <w:r>
      <w:rPr>
        <w:noProof/>
        <w:sz w:val="20"/>
      </w:rPr>
      <mc:AlternateContent>
        <mc:Choice Requires="wpg">
          <w:drawing>
            <wp:anchor distT="0" distB="0" distL="0" distR="0" simplePos="0" relativeHeight="251674624" behindDoc="1" locked="0" layoutInCell="1" allowOverlap="1" wp14:anchorId="245CB378" wp14:editId="135DD5C4">
              <wp:simplePos x="0" y="0"/>
              <wp:positionH relativeFrom="page">
                <wp:posOffset>0</wp:posOffset>
              </wp:positionH>
              <wp:positionV relativeFrom="page">
                <wp:posOffset>9993007</wp:posOffset>
              </wp:positionV>
              <wp:extent cx="7560309" cy="180340"/>
              <wp:effectExtent l="0" t="0" r="0" b="0"/>
              <wp:wrapNone/>
              <wp:docPr id="366" name="Group 3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60309" cy="180340"/>
                        <a:chOff x="0" y="0"/>
                        <a:chExt cx="7560309" cy="180340"/>
                      </a:xfrm>
                    </wpg:grpSpPr>
                    <wps:wsp>
                      <wps:cNvPr id="367" name="Graphic 367"/>
                      <wps:cNvSpPr/>
                      <wps:spPr>
                        <a:xfrm>
                          <a:off x="0" y="0"/>
                          <a:ext cx="7560309" cy="180340"/>
                        </a:xfrm>
                        <a:custGeom>
                          <a:avLst/>
                          <a:gdLst/>
                          <a:ahLst/>
                          <a:cxnLst/>
                          <a:rect l="l" t="t" r="r" b="b"/>
                          <a:pathLst>
                            <a:path w="7560309" h="180340">
                              <a:moveTo>
                                <a:pt x="509765" y="0"/>
                              </a:moveTo>
                              <a:lnTo>
                                <a:pt x="0" y="0"/>
                              </a:lnTo>
                              <a:lnTo>
                                <a:pt x="0" y="179997"/>
                              </a:lnTo>
                              <a:lnTo>
                                <a:pt x="509765" y="179997"/>
                              </a:lnTo>
                              <a:lnTo>
                                <a:pt x="509765" y="0"/>
                              </a:lnTo>
                              <a:close/>
                            </a:path>
                            <a:path w="7560309" h="180340">
                              <a:moveTo>
                                <a:pt x="7560005" y="0"/>
                              </a:moveTo>
                              <a:lnTo>
                                <a:pt x="779767" y="0"/>
                              </a:lnTo>
                              <a:lnTo>
                                <a:pt x="779767" y="179997"/>
                              </a:lnTo>
                              <a:lnTo>
                                <a:pt x="7560005" y="179997"/>
                              </a:lnTo>
                              <a:lnTo>
                                <a:pt x="7560005" y="0"/>
                              </a:lnTo>
                              <a:close/>
                            </a:path>
                          </a:pathLst>
                        </a:custGeom>
                        <a:solidFill>
                          <a:srgbClr val="007B3A"/>
                        </a:solidFill>
                      </wps:spPr>
                      <wps:bodyPr wrap="square" lIns="0" tIns="0" rIns="0" bIns="0" rtlCol="0">
                        <a:prstTxWarp prst="textNoShape">
                          <a:avLst/>
                        </a:prstTxWarp>
                        <a:noAutofit/>
                      </wps:bodyPr>
                    </wps:wsp>
                    <wps:wsp>
                      <wps:cNvPr id="368" name="Graphic 368"/>
                      <wps:cNvSpPr/>
                      <wps:spPr>
                        <a:xfrm>
                          <a:off x="509765" y="0"/>
                          <a:ext cx="270510" cy="180340"/>
                        </a:xfrm>
                        <a:custGeom>
                          <a:avLst/>
                          <a:gdLst/>
                          <a:ahLst/>
                          <a:cxnLst/>
                          <a:rect l="l" t="t" r="r" b="b"/>
                          <a:pathLst>
                            <a:path w="270510" h="180340">
                              <a:moveTo>
                                <a:pt x="270002" y="0"/>
                              </a:moveTo>
                              <a:lnTo>
                                <a:pt x="0" y="0"/>
                              </a:lnTo>
                              <a:lnTo>
                                <a:pt x="0" y="179997"/>
                              </a:lnTo>
                              <a:lnTo>
                                <a:pt x="270002" y="179997"/>
                              </a:lnTo>
                              <a:lnTo>
                                <a:pt x="270002" y="0"/>
                              </a:lnTo>
                              <a:close/>
                            </a:path>
                          </a:pathLst>
                        </a:custGeom>
                        <a:solidFill>
                          <a:srgbClr val="B2CD5A"/>
                        </a:solidFill>
                      </wps:spPr>
                      <wps:bodyPr wrap="square" lIns="0" tIns="0" rIns="0" bIns="0" rtlCol="0">
                        <a:prstTxWarp prst="textNoShape">
                          <a:avLst/>
                        </a:prstTxWarp>
                        <a:noAutofit/>
                      </wps:bodyPr>
                    </wps:wsp>
                    <wps:wsp>
                      <wps:cNvPr id="369" name="Graphic 369"/>
                      <wps:cNvSpPr/>
                      <wps:spPr>
                        <a:xfrm>
                          <a:off x="693000" y="0"/>
                          <a:ext cx="270510" cy="180340"/>
                        </a:xfrm>
                        <a:custGeom>
                          <a:avLst/>
                          <a:gdLst/>
                          <a:ahLst/>
                          <a:cxnLst/>
                          <a:rect l="l" t="t" r="r" b="b"/>
                          <a:pathLst>
                            <a:path w="270510" h="180340">
                              <a:moveTo>
                                <a:pt x="270002" y="0"/>
                              </a:moveTo>
                              <a:lnTo>
                                <a:pt x="0" y="0"/>
                              </a:lnTo>
                              <a:lnTo>
                                <a:pt x="0" y="179997"/>
                              </a:lnTo>
                              <a:lnTo>
                                <a:pt x="270002" y="179997"/>
                              </a:lnTo>
                              <a:lnTo>
                                <a:pt x="270002" y="0"/>
                              </a:lnTo>
                              <a:close/>
                            </a:path>
                          </a:pathLst>
                        </a:custGeom>
                        <a:solidFill>
                          <a:srgbClr val="B3CE58">
                            <a:alpha val="75000"/>
                          </a:srgbClr>
                        </a:solidFill>
                      </wps:spPr>
                      <wps:bodyPr wrap="square" lIns="0" tIns="0" rIns="0" bIns="0" rtlCol="0">
                        <a:prstTxWarp prst="textNoShape">
                          <a:avLst/>
                        </a:prstTxWarp>
                        <a:noAutofit/>
                      </wps:bodyPr>
                    </wps:wsp>
                    <wps:wsp>
                      <wps:cNvPr id="370" name="Graphic 370"/>
                      <wps:cNvSpPr/>
                      <wps:spPr>
                        <a:xfrm>
                          <a:off x="963002" y="0"/>
                          <a:ext cx="270510" cy="180340"/>
                        </a:xfrm>
                        <a:custGeom>
                          <a:avLst/>
                          <a:gdLst/>
                          <a:ahLst/>
                          <a:cxnLst/>
                          <a:rect l="l" t="t" r="r" b="b"/>
                          <a:pathLst>
                            <a:path w="270510" h="180340">
                              <a:moveTo>
                                <a:pt x="270002" y="0"/>
                              </a:moveTo>
                              <a:lnTo>
                                <a:pt x="0" y="0"/>
                              </a:lnTo>
                              <a:lnTo>
                                <a:pt x="0" y="179997"/>
                              </a:lnTo>
                              <a:lnTo>
                                <a:pt x="270002" y="179997"/>
                              </a:lnTo>
                              <a:lnTo>
                                <a:pt x="270002" y="0"/>
                              </a:lnTo>
                              <a:close/>
                            </a:path>
                          </a:pathLst>
                        </a:custGeom>
                        <a:solidFill>
                          <a:srgbClr val="B2CD5A">
                            <a:alpha val="50000"/>
                          </a:srgbClr>
                        </a:solidFill>
                      </wps:spPr>
                      <wps:bodyPr wrap="square" lIns="0" tIns="0" rIns="0" bIns="0" rtlCol="0">
                        <a:prstTxWarp prst="textNoShape">
                          <a:avLst/>
                        </a:prstTxWarp>
                        <a:noAutofit/>
                      </wps:bodyPr>
                    </wps:wsp>
                  </wpg:wgp>
                </a:graphicData>
              </a:graphic>
            </wp:anchor>
          </w:drawing>
        </mc:Choice>
        <mc:Fallback>
          <w:pict>
            <v:group w14:anchorId="73DEB064" id="Group 366" o:spid="_x0000_s1026" style="position:absolute;margin-left:0;margin-top:786.85pt;width:595.3pt;height:14.2pt;z-index:-251641856;mso-wrap-distance-left:0;mso-wrap-distance-right:0;mso-position-horizontal-relative:page;mso-position-vertical-relative:page" coordsize="75603,18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AzubQMAAEARAAAOAAAAZHJzL2Uyb0RvYy54bWzsWF1P2zAUfZ+0/2D5fSRt16aNaBGUD01C&#10;DAmmPbuO00RLYs92m/Lvd+3ErSkbUNgQmvqS3MTX9vW59xw7OTxalQVaMqlyXo1x5yDEiFWUJ3k1&#10;H+Nvt+efhhgpTaqEFLxiY3zHFD6afPxwWIuYdXnGi4RJBINUKq7FGGdaizgIFM1YSdQBF6yCxpTL&#10;kmh4lPMgkaSG0csi6IbhIKi5TITklCkFb0+bRjyx46cpo/prmiqmUTHGEJu2V2mvM3MNJocknksi&#10;spy2YZAXRFGSvIJJ10OdEk3QQuYPhipzKrniqT6gvAx4muaU2TXAajrh1mouJF8Iu5Z5XM/FGiaA&#10;dgunFw9Lr5bXEuXJGPcGA4wqUkKS7LzIvAB4ajGPwetCihtxLZs1gnnJ6Q8FzcF2u3meb5xXqSxN&#10;J1gqWlnc79a4s5VGFF5G/UHYC0cYUWjrDMPe5zYxNIPsPehGs7PHOwYkbqa1wa2DqQXUmNrAqF4H&#10;401GBLPZUQagNYzRBsamrHqDqAHS+hkULawqVi2gr8BovVQS04XSF4xbtMnyUummthNnkcxZdFU5&#10;UwJDDDcKyw2NEXBDYgTcmDXcEESbfiaFxkS1l65snS3TXPIlu+XWUZuc9cNRNOhj5PINoW5cisp3&#10;BWZ6Xq7N3YUdrvHpRKPRyMIJwzkHd28cvXl387ZF5w1LC66YKfFm6S+AwBR2GD4PgygCuKB2ngTC&#10;c3zG+vwQdnR/Eo8WGFseYPsFqHiRJ+d5URjUlJzPpoVES2JUOIxOesemuKCL5wZcdYww1ownd0Cp&#10;GqR5jNXPBZEMo+JLBaQ1Ou4M6YyZM6QuptyqvU2YVPp29Z1IgQSYY6xBdK644y6JHVPMWta+pmfF&#10;jxeap7mhkY2tiah9AB0x0vgmggJbqNNlJyjDnQTFY0QrrE55u1HY7wCe94UXsHCS5OfUQQW73N8X&#10;FRfJ45oCXmHYvUeSN9EUb95nkMjz/jccOulOT/t7Dv3myOSIbajpb8pwuNjm0GgnDg1GPSi9TeWR&#10;eM+h3fZljxXvgkO96Vl/aA/tpBAZaXanqG+y3G5Ozba136i2v0v+QLII6LFFMngFWLZkfPrkOxoA&#10;yTx535Ms3vHw+95I1mxU5jzlkcxw7P8jmf3YhM90qxftLwXzH8B/tqfHzY+PyS8AAAD//wMAUEsD&#10;BBQABgAIAAAAIQDtFo+34QAAAAsBAAAPAAAAZHJzL2Rvd25yZXYueG1sTI/BbsIwEETvlfoP1lbq&#10;rdgGEUoaByHU9oQqFSpV3Ey8JBHxOopNEv6+5lRuuzuj2TfZarQN67HztSMFciKAIRXO1FQq+Nl/&#10;vLwC80GT0Y0jVHBFD6v88SHTqXEDfWO/CyWLIeRTraAKoU0590WFVvuJa5GidnKd1SGuXclNp4cY&#10;bhs+FSLhVtcUP1S6xU2FxXl3sQo+Bz2sZ/K9355Pm+thP//63UpU6vlpXL8BCziGfzPc8CM65JHp&#10;6C5kPGsUxCIhXueL2QLYTZdLkQA7xikRUwk8z/h9h/wPAAD//wMAUEsBAi0AFAAGAAgAAAAhALaD&#10;OJL+AAAA4QEAABMAAAAAAAAAAAAAAAAAAAAAAFtDb250ZW50X1R5cGVzXS54bWxQSwECLQAUAAYA&#10;CAAAACEAOP0h/9YAAACUAQAACwAAAAAAAAAAAAAAAAAvAQAAX3JlbHMvLnJlbHNQSwECLQAUAAYA&#10;CAAAACEAepgM7m0DAABAEQAADgAAAAAAAAAAAAAAAAAuAgAAZHJzL2Uyb0RvYy54bWxQSwECLQAU&#10;AAYACAAAACEA7RaPt+EAAAALAQAADwAAAAAAAAAAAAAAAADHBQAAZHJzL2Rvd25yZXYueG1sUEsF&#10;BgAAAAAEAAQA8wAAANUGAAAAAA==&#10;">
              <v:shape id="Graphic 367" o:spid="_x0000_s1027" style="position:absolute;width:75603;height:1803;visibility:visible;mso-wrap-style:square;v-text-anchor:top" coordsize="7560309,180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8TMxQAAANwAAAAPAAAAZHJzL2Rvd25yZXYueG1sRI9Ba8JA&#10;FITvQv/D8gq96aZVbEldpdRUiie1Qq+P7DMJ3X0bshuT+OvdguBxmJlvmMWqt0acqfGVYwXPkwQE&#10;ce50xYWC48/X+A2ED8gajWNSMJCH1fJhtMBUu473dD6EQkQI+xQVlCHUqZQ+L8min7iaOHon11gM&#10;UTaF1A12EW6NfEmSubRYcVwosabPkvK/Q2sVnMxObwaT/c62ob+s+ZK1s91RqafH/uMdRKA+3MO3&#10;9rdWMJ2/wv+ZeATk8goAAP//AwBQSwECLQAUAAYACAAAACEA2+H2y+4AAACFAQAAEwAAAAAAAAAA&#10;AAAAAAAAAAAAW0NvbnRlbnRfVHlwZXNdLnhtbFBLAQItABQABgAIAAAAIQBa9CxbvwAAABUBAAAL&#10;AAAAAAAAAAAAAAAAAB8BAABfcmVscy8ucmVsc1BLAQItABQABgAIAAAAIQAJw8TMxQAAANwAAAAP&#10;AAAAAAAAAAAAAAAAAAcCAABkcnMvZG93bnJldi54bWxQSwUGAAAAAAMAAwC3AAAA+QIAAAAA&#10;" path="m509765,l,,,179997r509765,l509765,xem7560005,l779767,r,179997l7560005,179997,7560005,xe" fillcolor="#007b3a" stroked="f">
                <v:path arrowok="t"/>
              </v:shape>
              <v:shape id="Graphic 368" o:spid="_x0000_s1028" style="position:absolute;left:5097;width:2705;height:1803;visibility:visible;mso-wrap-style:square;v-text-anchor:top" coordsize="270510,180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5CrgwAAAANwAAAAPAAAAZHJzL2Rvd25yZXYueG1sRE9Ni8Iw&#10;EL0v+B/CCN7WVAVZqlFEEJbFBdfqfWjGtrSZxCa19d9vDoLHx/tebwfTiAe1vrKsYDZNQBDnVldc&#10;KLhkh88vED4ga2wsk4InedhuRh9rTLXt+Y8e51CIGMI+RQVlCC6V0uclGfRT64gjd7OtwRBhW0jd&#10;Yh/DTSPnSbKUBiuODSU62peU1+fOKOhqh/ef63F+ul2zrs5Pxa8beqUm42G3AhFoCG/xy/2tFSyW&#10;cW08E4+A3PwDAAD//wMAUEsBAi0AFAAGAAgAAAAhANvh9svuAAAAhQEAABMAAAAAAAAAAAAAAAAA&#10;AAAAAFtDb250ZW50X1R5cGVzXS54bWxQSwECLQAUAAYACAAAACEAWvQsW78AAAAVAQAACwAAAAAA&#10;AAAAAAAAAAAfAQAAX3JlbHMvLnJlbHNQSwECLQAUAAYACAAAACEACOQq4MAAAADcAAAADwAAAAAA&#10;AAAAAAAAAAAHAgAAZHJzL2Rvd25yZXYueG1sUEsFBgAAAAADAAMAtwAAAPQCAAAAAA==&#10;" path="m270002,l,,,179997r270002,l270002,xe" fillcolor="#b2cd5a" stroked="f">
                <v:path arrowok="t"/>
              </v:shape>
              <v:shape id="Graphic 369" o:spid="_x0000_s1029" style="position:absolute;left:6930;width:2705;height:1803;visibility:visible;mso-wrap-style:square;v-text-anchor:top" coordsize="270510,180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lvHyAAAANwAAAAPAAAAZHJzL2Rvd25yZXYueG1sRI9BSwMx&#10;FITvgv8hPKE3m9UtRdempWoLBQ9iK0t7eyTPzdbNy7JJ262/vhEEj8PMfMNMZr1rxJG6UHtWcDfM&#10;QBBrb2quFHxulrcPIEJENth4JgVnCjCbXl9NsDD+xB90XMdKJAiHAhXYGNtCyqAtOQxD3xIn78t3&#10;DmOSXSVNh6cEd428z7KxdFhzWrDY0osl/b0+OAVv7xuzH+W6LJ+3utzPF6+73P4oNbjp508gIvXx&#10;P/zXXhkF+fgRfs+kIyCnFwAAAP//AwBQSwECLQAUAAYACAAAACEA2+H2y+4AAACFAQAAEwAAAAAA&#10;AAAAAAAAAAAAAAAAW0NvbnRlbnRfVHlwZXNdLnhtbFBLAQItABQABgAIAAAAIQBa9CxbvwAAABUB&#10;AAALAAAAAAAAAAAAAAAAAB8BAABfcmVscy8ucmVsc1BLAQItABQABgAIAAAAIQBiwlvHyAAAANwA&#10;AAAPAAAAAAAAAAAAAAAAAAcCAABkcnMvZG93bnJldi54bWxQSwUGAAAAAAMAAwC3AAAA/AIAAAAA&#10;" path="m270002,l,,,179997r270002,l270002,xe" fillcolor="#b3ce58" stroked="f">
                <v:fill opacity="49087f"/>
                <v:path arrowok="t"/>
              </v:shape>
              <v:shape id="Graphic 370" o:spid="_x0000_s1030" style="position:absolute;left:9630;width:2705;height:1803;visibility:visible;mso-wrap-style:square;v-text-anchor:top" coordsize="270510,180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7YZwgAAANwAAAAPAAAAZHJzL2Rvd25yZXYueG1sRE9NawIx&#10;EL0L/ocwQi9Ss7Zgy9YoWipIlUK10Ot0M90sbiYhSd3tvzcHwePjfc+XvW3FmUJsHCuYTgoQxJXT&#10;DdcKvo6b+2cQMSFrbB2Tgn+KsFwMB3Mstev4k86HVIscwrFEBSYlX0oZK0MW48R54sz9umAxZRhq&#10;qQN2Ody28qEoZtJiw7nBoKdXQ9Xp8GcVzH6O/PH9Zt6bsd/QfrveeeqCUnejfvUCIlGfbuKre6sV&#10;PD7l+flMPgJycQEAAP//AwBQSwECLQAUAAYACAAAACEA2+H2y+4AAACFAQAAEwAAAAAAAAAAAAAA&#10;AAAAAAAAW0NvbnRlbnRfVHlwZXNdLnhtbFBLAQItABQABgAIAAAAIQBa9CxbvwAAABUBAAALAAAA&#10;AAAAAAAAAAAAAB8BAABfcmVscy8ucmVsc1BLAQItABQABgAIAAAAIQCXw7YZwgAAANwAAAAPAAAA&#10;AAAAAAAAAAAAAAcCAABkcnMvZG93bnJldi54bWxQSwUGAAAAAAMAAwC3AAAA9gIAAAAA&#10;" path="m270002,l,,,179997r270002,l270002,xe" fillcolor="#b2cd5a" stroked="f">
                <v:fill opacity="32896f"/>
                <v:path arrowok="t"/>
              </v:shape>
              <w10:wrap anchorx="page" anchory="page"/>
            </v:group>
          </w:pict>
        </mc:Fallback>
      </mc:AlternateContent>
    </w:r>
    <w:r>
      <w:rPr>
        <w:noProof/>
        <w:sz w:val="20"/>
      </w:rPr>
      <mc:AlternateContent>
        <mc:Choice Requires="wps">
          <w:drawing>
            <wp:anchor distT="0" distB="0" distL="0" distR="0" simplePos="0" relativeHeight="251675648" behindDoc="1" locked="0" layoutInCell="1" allowOverlap="1" wp14:anchorId="11DE8B82" wp14:editId="219AC2C2">
              <wp:simplePos x="0" y="0"/>
              <wp:positionH relativeFrom="page">
                <wp:posOffset>988578</wp:posOffset>
              </wp:positionH>
              <wp:positionV relativeFrom="page">
                <wp:posOffset>9984296</wp:posOffset>
              </wp:positionV>
              <wp:extent cx="219075" cy="190500"/>
              <wp:effectExtent l="0" t="0" r="0" b="0"/>
              <wp:wrapNone/>
              <wp:docPr id="371" name="Textbox 3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9075" cy="190500"/>
                      </a:xfrm>
                      <a:prstGeom prst="rect">
                        <a:avLst/>
                      </a:prstGeom>
                    </wps:spPr>
                    <wps:txbx>
                      <w:txbxContent>
                        <w:p w14:paraId="5B29853E" w14:textId="77777777" w:rsidR="00884A71" w:rsidRDefault="00884A71">
                          <w:pPr>
                            <w:spacing w:before="4"/>
                            <w:ind w:left="20"/>
                            <w:rPr>
                              <w:rFonts w:ascii="Times New Roman"/>
                              <w:sz w:val="24"/>
                            </w:rPr>
                          </w:pPr>
                          <w:r>
                            <w:rPr>
                              <w:rFonts w:ascii="Times New Roman"/>
                              <w:color w:val="FFFFFF"/>
                              <w:spacing w:val="-5"/>
                              <w:w w:val="90"/>
                              <w:sz w:val="24"/>
                            </w:rPr>
                            <w:fldChar w:fldCharType="begin"/>
                          </w:r>
                          <w:r>
                            <w:rPr>
                              <w:rFonts w:ascii="Times New Roman"/>
                              <w:color w:val="FFFFFF"/>
                              <w:spacing w:val="-5"/>
                              <w:w w:val="90"/>
                              <w:sz w:val="24"/>
                            </w:rPr>
                            <w:instrText xml:space="preserve"> PAGE </w:instrText>
                          </w:r>
                          <w:r>
                            <w:rPr>
                              <w:rFonts w:ascii="Times New Roman"/>
                              <w:color w:val="FFFFFF"/>
                              <w:spacing w:val="-5"/>
                              <w:w w:val="90"/>
                              <w:sz w:val="24"/>
                            </w:rPr>
                            <w:fldChar w:fldCharType="separate"/>
                          </w:r>
                          <w:r>
                            <w:rPr>
                              <w:rFonts w:ascii="Times New Roman"/>
                              <w:color w:val="FFFFFF"/>
                              <w:spacing w:val="-5"/>
                              <w:w w:val="90"/>
                              <w:sz w:val="24"/>
                            </w:rPr>
                            <w:t>100</w:t>
                          </w:r>
                          <w:r>
                            <w:rPr>
                              <w:rFonts w:ascii="Times New Roman"/>
                              <w:color w:val="FFFFFF"/>
                              <w:spacing w:val="-5"/>
                              <w:w w:val="90"/>
                              <w:sz w:val="24"/>
                            </w:rPr>
                            <w:fldChar w:fldCharType="end"/>
                          </w:r>
                        </w:p>
                      </w:txbxContent>
                    </wps:txbx>
                    <wps:bodyPr wrap="square" lIns="0" tIns="0" rIns="0" bIns="0" rtlCol="0">
                      <a:noAutofit/>
                    </wps:bodyPr>
                  </wps:wsp>
                </a:graphicData>
              </a:graphic>
            </wp:anchor>
          </w:drawing>
        </mc:Choice>
        <mc:Fallback>
          <w:pict>
            <v:shapetype w14:anchorId="11DE8B82" id="_x0000_t202" coordsize="21600,21600" o:spt="202" path="m,l,21600r21600,l21600,xe">
              <v:stroke joinstyle="miter"/>
              <v:path gradientshapeok="t" o:connecttype="rect"/>
            </v:shapetype>
            <v:shape id="Textbox 371" o:spid="_x0000_s1087" type="#_x0000_t202" style="position:absolute;margin-left:77.85pt;margin-top:786.15pt;width:17.25pt;height:15pt;z-index:-251640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ft2rAEAAEkDAAAOAAAAZHJzL2Uyb0RvYy54bWysU9tu1DAQfUfiHyy/s8kuKoVosxVQgZAq&#10;QGr7AY5jbyxij5nxbrJ/z9h7aQVvFS/O2B6fOWfOZH0z+1HsDZKD0MrlopbCBA29C9tWPj58efNe&#10;Ckoq9GqEYFp5MCRvNq9frafYmBUMMPYGBYMEaqbYyiGl2FQV6cF4RQuIJvClBfQq8Ra3VY9qYnQ/&#10;Vqu6fldNgH1E0IaIT2+Pl3JT8K01Ov2wlkwSYyuZWyorlrXLa7VZq2aLKg5On2ioF7DwygUueoG6&#10;VUmJHbp/oLzTCAQ2LTT4Cqx12hQNrGZZ/6XmflDRFC3cHIqXNtH/g9Xf9z9RuL6Vb6+XUgTl2aQH&#10;M6cOZpGPuEFTpIbz7iNnpvkTzGx0EUvxDvQv4pTqWc7xAXF2bshs0ecvSxX8kD04XPrOZYTmw9Xy&#10;Q319JYXmKw6v6uJL9fQ4IqWvBrzIQSuRbS0E1P6OUi6vmnPKicuxfGaV5m4uAi9aOugPLGVi11tJ&#10;v3cKjRTjt8BtzSNyDvAcdOcA0/gZyiBlRQE+7hJYVwjkSkfcEwH2q/A6zVYeiOf7kvX0B2z+AAAA&#10;//8DAFBLAwQUAAYACAAAACEAYEZce+AAAAANAQAADwAAAGRycy9kb3ducmV2LnhtbEyPwU7DMBBE&#10;70j8g7VI3KhNUFMa4lQVghNS1TQcODqxm1iN1yF22/D3bE5wm9kdzb7NN5Pr2cWMwXqU8LgQwAw2&#10;XltsJXxW7w/PwEJUqFXv0Uj4MQE2xe1NrjLtr1iayyG2jEowZEpCF+OQcR6azjgVFn4wSLujH52K&#10;ZMeW61Fdqdz1PBEi5U5ZpAudGsxrZ5rT4ewkbL+wfLPfu3pfHktbVWuBH+lJyvu7afsCLJop/oVh&#10;xid0KIip9mfUgfXkl8sVRWexSp6AzZG1SIDVJFJBI17k/P8XxS8AAAD//wMAUEsBAi0AFAAGAAgA&#10;AAAhALaDOJL+AAAA4QEAABMAAAAAAAAAAAAAAAAAAAAAAFtDb250ZW50X1R5cGVzXS54bWxQSwEC&#10;LQAUAAYACAAAACEAOP0h/9YAAACUAQAACwAAAAAAAAAAAAAAAAAvAQAAX3JlbHMvLnJlbHNQSwEC&#10;LQAUAAYACAAAACEAjd37dqwBAABJAwAADgAAAAAAAAAAAAAAAAAuAgAAZHJzL2Uyb0RvYy54bWxQ&#10;SwECLQAUAAYACAAAACEAYEZce+AAAAANAQAADwAAAAAAAAAAAAAAAAAGBAAAZHJzL2Rvd25yZXYu&#10;eG1sUEsFBgAAAAAEAAQA8wAAABMFAAAAAA==&#10;" filled="f" stroked="f">
              <v:textbox inset="0,0,0,0">
                <w:txbxContent>
                  <w:p w14:paraId="5B29853E" w14:textId="77777777" w:rsidR="00884A71" w:rsidRDefault="00884A71">
                    <w:pPr>
                      <w:spacing w:before="4"/>
                      <w:ind w:left="20"/>
                      <w:rPr>
                        <w:rFonts w:ascii="Times New Roman"/>
                        <w:sz w:val="24"/>
                      </w:rPr>
                    </w:pPr>
                    <w:r>
                      <w:rPr>
                        <w:rFonts w:ascii="Times New Roman"/>
                        <w:color w:val="FFFFFF"/>
                        <w:spacing w:val="-5"/>
                        <w:w w:val="90"/>
                        <w:sz w:val="24"/>
                      </w:rPr>
                      <w:fldChar w:fldCharType="begin"/>
                    </w:r>
                    <w:r>
                      <w:rPr>
                        <w:rFonts w:ascii="Times New Roman"/>
                        <w:color w:val="FFFFFF"/>
                        <w:spacing w:val="-5"/>
                        <w:w w:val="90"/>
                        <w:sz w:val="24"/>
                      </w:rPr>
                      <w:instrText xml:space="preserve"> PAGE </w:instrText>
                    </w:r>
                    <w:r>
                      <w:rPr>
                        <w:rFonts w:ascii="Times New Roman"/>
                        <w:color w:val="FFFFFF"/>
                        <w:spacing w:val="-5"/>
                        <w:w w:val="90"/>
                        <w:sz w:val="24"/>
                      </w:rPr>
                      <w:fldChar w:fldCharType="separate"/>
                    </w:r>
                    <w:r>
                      <w:rPr>
                        <w:rFonts w:ascii="Times New Roman"/>
                        <w:color w:val="FFFFFF"/>
                        <w:spacing w:val="-5"/>
                        <w:w w:val="90"/>
                        <w:sz w:val="24"/>
                      </w:rPr>
                      <w:t>100</w:t>
                    </w:r>
                    <w:r>
                      <w:rPr>
                        <w:rFonts w:ascii="Times New Roman"/>
                        <w:color w:val="FFFFFF"/>
                        <w:spacing w:val="-5"/>
                        <w:w w:val="90"/>
                        <w:sz w:val="24"/>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sz w:val="20"/>
        <w:szCs w:val="20"/>
      </w:rPr>
      <w:id w:val="-450935543"/>
      <w:docPartObj>
        <w:docPartGallery w:val="Page Numbers (Bottom of Page)"/>
        <w:docPartUnique/>
      </w:docPartObj>
    </w:sdtPr>
    <w:sdtEndPr>
      <w:rPr>
        <w:noProof/>
      </w:rPr>
    </w:sdtEndPr>
    <w:sdtContent>
      <w:p w14:paraId="283F0FA4" w14:textId="5354EBBD" w:rsidR="00884A71" w:rsidRPr="00432A4D" w:rsidRDefault="00A31B4A" w:rsidP="009C2BC3">
        <w:pPr>
          <w:pStyle w:val="Footer"/>
          <w:jc w:val="center"/>
          <w:rPr>
            <w:rFonts w:ascii="Times New Roman" w:hAnsi="Times New Roman" w:cs="Times New Roman"/>
            <w:sz w:val="20"/>
            <w:szCs w:val="20"/>
          </w:rPr>
        </w:pPr>
        <w:r w:rsidRPr="00432A4D">
          <w:rPr>
            <w:rFonts w:ascii="Times New Roman" w:hAnsi="Times New Roman" w:cs="Times New Roman"/>
            <w:sz w:val="20"/>
            <w:szCs w:val="20"/>
          </w:rPr>
          <w:fldChar w:fldCharType="begin"/>
        </w:r>
        <w:r w:rsidRPr="00432A4D">
          <w:rPr>
            <w:rFonts w:ascii="Times New Roman" w:hAnsi="Times New Roman" w:cs="Times New Roman"/>
            <w:sz w:val="20"/>
            <w:szCs w:val="20"/>
          </w:rPr>
          <w:instrText xml:space="preserve"> PAGE   \* MERGEFORMAT </w:instrText>
        </w:r>
        <w:r w:rsidRPr="00432A4D">
          <w:rPr>
            <w:rFonts w:ascii="Times New Roman" w:hAnsi="Times New Roman" w:cs="Times New Roman"/>
            <w:sz w:val="20"/>
            <w:szCs w:val="20"/>
          </w:rPr>
          <w:fldChar w:fldCharType="separate"/>
        </w:r>
        <w:r w:rsidRPr="00432A4D">
          <w:rPr>
            <w:rFonts w:ascii="Times New Roman" w:hAnsi="Times New Roman" w:cs="Times New Roman"/>
            <w:noProof/>
            <w:sz w:val="20"/>
            <w:szCs w:val="20"/>
          </w:rPr>
          <w:t>2</w:t>
        </w:r>
        <w:r w:rsidRPr="00432A4D">
          <w:rPr>
            <w:rFonts w:ascii="Times New Roman" w:hAnsi="Times New Roman" w:cs="Times New Roman"/>
            <w:noProof/>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8A18A4" w14:textId="77777777" w:rsidR="00FF75BB" w:rsidRDefault="00FF75BB" w:rsidP="00141B6B">
      <w:pPr>
        <w:spacing w:after="0" w:line="240" w:lineRule="auto"/>
      </w:pPr>
      <w:r>
        <w:separator/>
      </w:r>
    </w:p>
  </w:footnote>
  <w:footnote w:type="continuationSeparator" w:id="0">
    <w:p w14:paraId="7B836373" w14:textId="77777777" w:rsidR="00FF75BB" w:rsidRDefault="00FF75BB" w:rsidP="00141B6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FC7320" w14:textId="77777777" w:rsidR="00884A71" w:rsidRDefault="00884A71">
    <w:pPr>
      <w:pStyle w:val="BodyText"/>
      <w:spacing w:line="14" w:lineRule="auto"/>
      <w:rPr>
        <w:sz w:val="20"/>
      </w:rPr>
    </w:pPr>
    <w:r>
      <w:rPr>
        <w:noProof/>
        <w:sz w:val="20"/>
      </w:rPr>
      <mc:AlternateContent>
        <mc:Choice Requires="wpg">
          <w:drawing>
            <wp:anchor distT="0" distB="0" distL="0" distR="0" simplePos="0" relativeHeight="251670528" behindDoc="1" locked="0" layoutInCell="1" allowOverlap="1" wp14:anchorId="5A856810" wp14:editId="4AF6265F">
              <wp:simplePos x="0" y="0"/>
              <wp:positionH relativeFrom="page">
                <wp:posOffset>0</wp:posOffset>
              </wp:positionH>
              <wp:positionV relativeFrom="page">
                <wp:posOffset>0</wp:posOffset>
              </wp:positionV>
              <wp:extent cx="7560309" cy="846455"/>
              <wp:effectExtent l="0" t="0" r="0" b="0"/>
              <wp:wrapNone/>
              <wp:docPr id="354" name="Group 3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60309" cy="846455"/>
                        <a:chOff x="0" y="0"/>
                        <a:chExt cx="7560309" cy="846455"/>
                      </a:xfrm>
                    </wpg:grpSpPr>
                    <wps:wsp>
                      <wps:cNvPr id="355" name="Graphic 355"/>
                      <wps:cNvSpPr/>
                      <wps:spPr>
                        <a:xfrm>
                          <a:off x="0" y="0"/>
                          <a:ext cx="7560309" cy="846455"/>
                        </a:xfrm>
                        <a:custGeom>
                          <a:avLst/>
                          <a:gdLst/>
                          <a:ahLst/>
                          <a:cxnLst/>
                          <a:rect l="l" t="t" r="r" b="b"/>
                          <a:pathLst>
                            <a:path w="7560309" h="846455">
                              <a:moveTo>
                                <a:pt x="509765" y="723607"/>
                              </a:moveTo>
                              <a:lnTo>
                                <a:pt x="0" y="723607"/>
                              </a:lnTo>
                              <a:lnTo>
                                <a:pt x="0" y="846201"/>
                              </a:lnTo>
                              <a:lnTo>
                                <a:pt x="509765" y="846201"/>
                              </a:lnTo>
                              <a:lnTo>
                                <a:pt x="509765" y="723607"/>
                              </a:lnTo>
                              <a:close/>
                            </a:path>
                            <a:path w="7560309" h="846455">
                              <a:moveTo>
                                <a:pt x="509765" y="0"/>
                              </a:moveTo>
                              <a:lnTo>
                                <a:pt x="0" y="0"/>
                              </a:lnTo>
                              <a:lnTo>
                                <a:pt x="0" y="543610"/>
                              </a:lnTo>
                              <a:lnTo>
                                <a:pt x="509765" y="543610"/>
                              </a:lnTo>
                              <a:lnTo>
                                <a:pt x="509765" y="0"/>
                              </a:lnTo>
                              <a:close/>
                            </a:path>
                            <a:path w="7560309" h="846455">
                              <a:moveTo>
                                <a:pt x="7560005" y="723607"/>
                              </a:moveTo>
                              <a:lnTo>
                                <a:pt x="779767" y="723607"/>
                              </a:lnTo>
                              <a:lnTo>
                                <a:pt x="779767" y="846201"/>
                              </a:lnTo>
                              <a:lnTo>
                                <a:pt x="7560005" y="846201"/>
                              </a:lnTo>
                              <a:lnTo>
                                <a:pt x="7560005" y="723607"/>
                              </a:lnTo>
                              <a:close/>
                            </a:path>
                            <a:path w="7560309" h="846455">
                              <a:moveTo>
                                <a:pt x="7560005" y="0"/>
                              </a:moveTo>
                              <a:lnTo>
                                <a:pt x="779767" y="0"/>
                              </a:lnTo>
                              <a:lnTo>
                                <a:pt x="779767" y="543610"/>
                              </a:lnTo>
                              <a:lnTo>
                                <a:pt x="7560005" y="543610"/>
                              </a:lnTo>
                              <a:lnTo>
                                <a:pt x="7560005" y="0"/>
                              </a:lnTo>
                              <a:close/>
                            </a:path>
                          </a:pathLst>
                        </a:custGeom>
                        <a:solidFill>
                          <a:srgbClr val="98C13C"/>
                        </a:solidFill>
                      </wps:spPr>
                      <wps:bodyPr wrap="square" lIns="0" tIns="0" rIns="0" bIns="0" rtlCol="0">
                        <a:prstTxWarp prst="textNoShape">
                          <a:avLst/>
                        </a:prstTxWarp>
                        <a:noAutofit/>
                      </wps:bodyPr>
                    </wps:wsp>
                    <wps:wsp>
                      <wps:cNvPr id="356" name="Graphic 356"/>
                      <wps:cNvSpPr/>
                      <wps:spPr>
                        <a:xfrm>
                          <a:off x="509765" y="0"/>
                          <a:ext cx="270510" cy="846455"/>
                        </a:xfrm>
                        <a:custGeom>
                          <a:avLst/>
                          <a:gdLst/>
                          <a:ahLst/>
                          <a:cxnLst/>
                          <a:rect l="l" t="t" r="r" b="b"/>
                          <a:pathLst>
                            <a:path w="270510" h="846455">
                              <a:moveTo>
                                <a:pt x="270002" y="723607"/>
                              </a:moveTo>
                              <a:lnTo>
                                <a:pt x="0" y="723607"/>
                              </a:lnTo>
                              <a:lnTo>
                                <a:pt x="0" y="846201"/>
                              </a:lnTo>
                              <a:lnTo>
                                <a:pt x="270002" y="846201"/>
                              </a:lnTo>
                              <a:lnTo>
                                <a:pt x="270002" y="723607"/>
                              </a:lnTo>
                              <a:close/>
                            </a:path>
                            <a:path w="270510" h="846455">
                              <a:moveTo>
                                <a:pt x="270002" y="0"/>
                              </a:moveTo>
                              <a:lnTo>
                                <a:pt x="0" y="0"/>
                              </a:lnTo>
                              <a:lnTo>
                                <a:pt x="0" y="543610"/>
                              </a:lnTo>
                              <a:lnTo>
                                <a:pt x="270002" y="543610"/>
                              </a:lnTo>
                              <a:lnTo>
                                <a:pt x="270002" y="0"/>
                              </a:lnTo>
                              <a:close/>
                            </a:path>
                          </a:pathLst>
                        </a:custGeom>
                        <a:solidFill>
                          <a:srgbClr val="B2CD5A"/>
                        </a:solidFill>
                      </wps:spPr>
                      <wps:bodyPr wrap="square" lIns="0" tIns="0" rIns="0" bIns="0" rtlCol="0">
                        <a:prstTxWarp prst="textNoShape">
                          <a:avLst/>
                        </a:prstTxWarp>
                        <a:noAutofit/>
                      </wps:bodyPr>
                    </wps:wsp>
                    <wps:wsp>
                      <wps:cNvPr id="357" name="Graphic 357"/>
                      <wps:cNvSpPr/>
                      <wps:spPr>
                        <a:xfrm>
                          <a:off x="0" y="543611"/>
                          <a:ext cx="7560309" cy="180340"/>
                        </a:xfrm>
                        <a:custGeom>
                          <a:avLst/>
                          <a:gdLst/>
                          <a:ahLst/>
                          <a:cxnLst/>
                          <a:rect l="l" t="t" r="r" b="b"/>
                          <a:pathLst>
                            <a:path w="7560309" h="180340">
                              <a:moveTo>
                                <a:pt x="0" y="0"/>
                              </a:moveTo>
                              <a:lnTo>
                                <a:pt x="0" y="179997"/>
                              </a:lnTo>
                              <a:lnTo>
                                <a:pt x="7560005" y="179997"/>
                              </a:lnTo>
                              <a:lnTo>
                                <a:pt x="7560005" y="0"/>
                              </a:lnTo>
                              <a:lnTo>
                                <a:pt x="0" y="0"/>
                              </a:lnTo>
                              <a:close/>
                            </a:path>
                          </a:pathLst>
                        </a:custGeom>
                        <a:solidFill>
                          <a:srgbClr val="007B3A"/>
                        </a:solidFill>
                      </wps:spPr>
                      <wps:bodyPr wrap="square" lIns="0" tIns="0" rIns="0" bIns="0" rtlCol="0">
                        <a:prstTxWarp prst="textNoShape">
                          <a:avLst/>
                        </a:prstTxWarp>
                        <a:noAutofit/>
                      </wps:bodyPr>
                    </wps:wsp>
                    <pic:pic xmlns:pic="http://schemas.openxmlformats.org/drawingml/2006/picture">
                      <pic:nvPicPr>
                        <pic:cNvPr id="358" name="Image 358"/>
                        <pic:cNvPicPr/>
                      </pic:nvPicPr>
                      <pic:blipFill>
                        <a:blip r:embed="rId1" cstate="print"/>
                        <a:stretch>
                          <a:fillRect/>
                        </a:stretch>
                      </pic:blipFill>
                      <pic:spPr>
                        <a:xfrm>
                          <a:off x="1082158" y="576878"/>
                          <a:ext cx="4471850" cy="116268"/>
                        </a:xfrm>
                        <a:prstGeom prst="rect">
                          <a:avLst/>
                        </a:prstGeom>
                      </pic:spPr>
                    </pic:pic>
                  </wpg:wgp>
                </a:graphicData>
              </a:graphic>
            </wp:anchor>
          </w:drawing>
        </mc:Choice>
        <mc:Fallback>
          <w:pict>
            <v:group w14:anchorId="1D9EBBA3" id="Group 354" o:spid="_x0000_s1026" style="position:absolute;margin-left:0;margin-top:0;width:595.3pt;height:66.65pt;z-index:-251645952;mso-wrap-distance-left:0;mso-wrap-distance-right:0;mso-position-horizontal-relative:page;mso-position-vertical-relative:page" coordsize="75603,84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8czlqQQAADUTAAAOAAAAZHJzL2Uyb0RvYy54bWzsWN1v2zYQfx+w/0HQ&#10;e2PJtiRbiFO0yRoUKLpgzbBnmqZsoZLIkfRH/vveUTqZs5PUbrI+DHuwRJk/Ub+7433x8u2uroKN&#10;0KaUzSyML6IwEA2Xi7JZzsI/7z+8mYSBsaxZsEo2YhY+CBO+vfr1l8utysVQrmS1EDqARRqTb9Us&#10;XFmr8sHA8JWombmQSjQwWUhdMwuPejlYaLaF1etqMIyidLCVeqG05MIY+PemnQyv3PpFIbj9vSiM&#10;sEE1C4GbdVftrnO8Dq4uWb7UTK1K3tFgP8CiZmUDH+2XumGWBWtdHi1Vl1xLIwt7wWU9kEVRcuFk&#10;AGni6ECaWy3XysmyzLdL1asJVHugpx9eln/e3OmgXMzCUTIOg4bVYCT33QD/APVs1TIH1K1WX9Sd&#10;bmWE4SfJvxqYHhzO4/NyD94VusaXQNRg5/T+0Otd7GzA4c8sSaNRNA0DDnOTcTpOktYwfAXWO3qN&#10;r357/sUBy9vPOnI9ma2CPWb2ajQvU+OXFVPCWceggno1Jns1tttq1IqDnwccatGp1eSmU+gLdNSL&#10;ynK+NvZWSKdttvlkbLu3FzRiKxrxXUNDDR6CvlE537BhAL6hwwB8Y96aQDGL76EJcRhsPXOtemvh&#10;dC034l46oEWbJdE0S0EZYNNsOEqjDBcEvntc1fh4cM9DKAHortzCLRD2CbhMtyYB6N4CPQbnof/B&#10;l9bklTSiFQE18TKNuMjzXWUQiijQ3ddDMh6l8fNATw/noQ+XfbkK0NWj6IxdkWWwi7JTt4aHPsHi&#10;Ppkz4f/SDvEZkfKf8hdPVoLS/qB7u0884Anm9ymcCT+kcbRdYMP38QTGfsQysioXH8qqQr8yejm/&#10;rnSwYRCappPreHTdOboHg+BOIRRHc7l4gBi8hVw+C83fa6ZFGFQfG4jymPhpoGkwp4G21bV05YFz&#10;aW3s/e4vplWgYDgLLWSpz5KCPcsptKIsPRbfbOS7tZVFiXHXcWsZdQ+QeDCX/pQMlB5noBT1d3IG&#10;8gKGsynLKVUPsyiBaHOQqUEXlMN8m5KqoCx6/SxETJ5PQoCKouFx+HjKqV4/CXkMTogxHvrcEHO2&#10;Qshdn9cFoSim0P3MHOQJdkJU8dCH33+doPJ+eH2TvPs/qBw3HRTpumDRl7WQg6k7oLLWVXQnB5XW&#10;tZzxXdm2DyqYcvr6P55EozEZ/adHlZ4KhJWOCcb2vYv4255Y7mcfc444m06nVPwSgO5dhvaqojPh&#10;xIEWpPtjPGnudVwoirL3o/+GC6mS5/DrGmwYHXWG3z+IgLfsGmuO9jCjPmmNmumva/UGzgKgLirn&#10;ZVXaB3euAX0lkmo2dyXHrhsf/CYTjlVab/xYs6WAXn2CsYxQ+A5WIUdLzKtSUZGF444sNH0HBwqP&#10;yNseVtxIvq5FY9vTFy0q4C0bsyqVgeYxF/VcwGGC/riIoUiAkx8L5wlKl41FflDZWS0sd81TAcXe&#10;H9B+IlFvwpHe80QRnuiT42gyjEFwbBuTLJ1kTgf7sDIeZ/Ek6YqVOE6HqQN4xQoWcNgyd6UeNsOg&#10;+KMar+2qHbGWihsCM1fbubMZJ0N3joSHP/6zQ+1Pu66+AQAA//8DAFBLAwQKAAAAAAAAACEApucN&#10;wlQ3AABUNwAAFAAAAGRycy9tZWRpYS9pbWFnZTEucG5niVBORw0KGgoAAAANSUhEUgAAA6sAAAAZ&#10;CAYAAADXCLhmAAAABmJLR0QA/wD/AP+gvaeTAAAACXBIWXMAAA7EAAAOxAGVKw4bAAAgAElEQVR4&#10;nO2dd9hUxfXHP0tHBFEEIyJixRbF3ntiicbEiL3F3o29x4pRY4mJvSRGjb3FGjViwYYaLEERFRUV&#10;sQDSezm/P74zuXdn5969++77Cslvv8+zz+7emTt37syZc86cc2amZGY00EADDTTQQAMNNPD/BmsC&#10;Q4DW7v+LwBbutwGbAa/Mh3o10EADCxa+AJZ2vz8CVgBauf8XAue0dAVaVc/SQAMNNNBAAw000MD/&#10;EHqgiWp/YCKwBDAP+ClQAn40/6rWQAMNLEDoCdwE3I/4RCtgZ2CqS2txtMlJKwG9gDHAjDqe0RG9&#10;zBhgMrLYzQ90AhYBRs+n588vlIBlUD/MBsYiwTQ/+sET9Vhg1nx4fgMtjy6I1r6d3xVpoIEWwGKI&#10;p46b3xX5H0Q7YHn3ewqSE9PnX3X+a1FCXpBvgZk5+cYAc4EH3P93gJWBf7r/37RUBRcQlIClEJ3V&#10;o+M2V116AuOBafO5Lg00EGI0cJj7/RHQGXg0ldbiKAVhwB2A41D4xwZAdzTBeQcYDNwC/LtAuT2B&#10;Y1056wNt3fUxwLPADcAgXwf00iu6/yOBScitPDxS9q7Anqn/JwOfZ9RjY2B/9y5rIGvAV8DrwEDg&#10;RsSs07jP5QW5viem0mYgZjISeAZ4n/JJ36rANSSTsveBCcDxaKIe4mwUigNiUAcE6QcCP0v9P8w9&#10;vwjaA+eh9loxSJsF/AVZSt4uUFYJuB7oBhxBbYraz5HldnOgT+r6W8BjqL3GFihnS+BoFKp0TZW8&#10;vwd2Qv09imJtNgS4xP2O0cAA4N3IfSXgSmTYAb3XxVWe9SvgVKAroqmPU2nmnjcOeBV4nkrauQD1&#10;a2s0pmpRKv4C/IN8Op/uyn0DeAIpjnn4CRqTG6IxUEJjcjDwNPBXysdJe+AhEsX0U2ShSz9/PDAC&#10;jbOPKG5cWQ3R/TDg3Cp5Twb2c/X5FviuQPlfACe535sBp6H3nYba7ATKFcRVUH95/Al4KfW/FXAR&#10;Cqvp4P7fAmwLbOXyjKbYmPsr6q9jgIOR0WCiq/OziN+F6Ib4scfjwG3u+p0kY/ZjRIenIB4a4lBX&#10;Z4+DiPO8ErAusCPik13dNY9VEV2PBPalOm/YFPhN6v/liL9XwwGIR3jslpP3V8AvkRxZyV372D3n&#10;78CDGfcdivhlJ9R/RYT6JNR3IDruj4zKY4GvC9zv+w/Udzejicss4MMC94No+lP3uy1wVyptEHB1&#10;wXKKYjXgTNQfXYK0ocDdiHa/d9fWQ/28BOIL7xV4xmzU57Pd/3NRn7dBvGpSgTL8u6fvrbVf9gBO&#10;RIbzacAnSK5cRJzH3UsSAfc6eu8YOqJxsCmi08VRn7/t7rsJ6SMhdkAyemPEb5cD/gU8iWi7XjyM&#10;eCAUb2c/hmPtfC/J5DqN7qhvWiNFeg7wR5KJt0d7xB83R/Kqh8vrddw/u99p7AD8Fhmq/Dj6BDiL&#10;Sv0RNOa6ut8fkB0i2RY4Cuk2GyJP9hykYw9G/PzNjHv7Ip3E4zZEY9WwA+LNHkchueWxlbvm8TtE&#10;Q1uhcM/FXR0/AL5EvGI2lTgH+DGSae2QLjHSld0JyYaRwMuon2L4BZIBHodQrqeEWBTxqmXd/xGU&#10;G7umIb3iQ6SXfEoxLInoojui34mo3/PGI8AZwNru91vIE7ko0g8+QvObc1E0QxolpMP2QeO6DZqv&#10;zEE8rAOaV3yZumcOGiMfozGXTstDH+Ay1Ben5ORbCdgd8a/PEf+aiMbX9UgG+nnGZ6h/z3bvGWI3&#10;V5bHiUF9N0Z6lMcVwGDMzH+WMbM3TZhgZlPd7zlmNt7MZpjZNDPbL3VP7LOJmX1t1XGXmbU3s1JG&#10;+uCM8s9y6aPc9xqRPCUzO9HVfap7n7ku/2T338zsGTNbPLh3TlCPL8xsoplNd58ZqbThwfM3z3iX&#10;yzLe5WlX5veuTmH6VWY2z5L2XDKjnNj735xRlzSmm9m2BcrbNHXPiQXr0MbMrixQh0lmtmOB8v7h&#10;8n9vZh2r5H0reMY495zYZ5SpTx9L3R/SgJnZ0Ixn7eTSP3XlPF7gXc4Myv7I1XGqJXTm6zDbzAaY&#10;WevU/S9F6lcUx7gyZgfX03Q+zcxmuevTXX1LkfdobWbnu3xTTDQ8z/2f5MozM3vQzLqk7lsoUq9R&#10;7h7//jNTaW+b2QqR58c+N6TuW6pK3geDOnxr2XTyjYl3pOlgn8h73G1mrVJ5/NjxY3jvoA6XRco4&#10;w8xGRq5Xw0BX5m3B9SnuexWrbIOlXNpoU99dGVwP8VCkDMzsOhOP/cbl6xbJs6aZjXDpcy3p66lm&#10;NsbU/mksnfGs9Gcvl3eEiW4fLXBPO1N/jHPPtYx87d17manvPT2b+z3J/b7B5Y21SRpfWzZ9jTHJ&#10;2e9S9z9vtWOEJWN1zRrv9e2/tpW3lbl6zTazO6x6+9byWdyK0fo7Ztbd3bNzkDa54Pv9PPXc5wre&#10;45F+91rvNUv65fzg+nj3vb3F22eOmY018cMHM/Isa4nMm2AaB77O4y0ZY3tl3O/b0+tU+2Tka8qn&#10;KbjV4u0809QeXYNnlMzs75FyDgvy9TLplWZxHdfzowOD+44JyvV9lqULf+3yTDWzQRl5lnRpvi6e&#10;R89193oZfITFZe9GLv/nJl70bka+sJ3+ZeI3o939ywR5DnTXPS1sH1z38LzwiMhz+lslXjaza4Jr&#10;nn+uGymjo0kn+d4S2dk9ki9s0xBfmfhDTK941YrJmBUyyp1t2XrJjyzRoaaY2W+D+z0N9Y/ce0Tk&#10;eQ+b2T3BtY8toZVwbvKomXUu8G6XpO7pWyVvG5fvO/dudwbXQ7ycUc65Lt3T2KpB+u5B+q5m9h+L&#10;3frIs9TXzYo7Iq/XccjqMQ5Z9z4FbifbmnAA8gT5tQ6TkEXvWPe5M5V3L+AO97u/+3znyn/E1SEP&#10;J2VcL7nnXIGssguhWfvv0Wz9WWS9/QBZ194isZan6/IFshYMcvmfQxY3b0V62V1/jcT7+YG717vL&#10;D0XW4Lx3eQe9cxYmIQt7LTjEfTwGIS/S7sDeyMoFstA8RqXnNcTRrh7voncr5WdnYeQRS1tH3kBW&#10;uoORNWmYu94ZWXC3zClvBWB79x6Lku8FAVmI+iMr01OIfuch2k5/OiNLXGhxDmngLuJ92Aa4FFlZ&#10;+1LMwg/yKvYH/uD+H08SXjgIea5aI8vVM8iC+zhJ2P7Z7v7nkZXLt/P7yCqb/njrYToaAdSG/h0f&#10;Qh5rT+cfI6vvN8iidxEa8+l+b+PqdA4aQ51cOwxA7e/Hx1BkIX0DhVyBrNO+jScgr8l7qD8Gunu8&#10;xXog0BtZmDeNtGUaiyBLrN8U5OCcvLh36o882B8g+m5NJZ20R/3yTHD/W4gPXUji+dwTOD3yrAsj&#10;1/ZH4xJkAb7UlTcQeeT6oz58BfEzo7J//5169tbu+xp3772I7g901zvEmwHQmEx70L93ZeyGeN4l&#10;qA/yeNk4RCsxbIxorD3iwa2Q9fVFxKMXR/wS5GXrT20RHDsiC/HP0VjMw55IRu0DXJeRpzPq8yOR&#10;Z2FhRB9no/H4jsvzNnA48paHXsGb3Xs8idrzWdQHIX21Rvzw7uD+c939A1GEyHHu+jAqacB795Yn&#10;4ROfu/t/5/4f774/C+71kRm+/BiuQryiuXEvWqYC8g7cguigP7K4e2/qmkgvAHn++pPwvQMRvxhD&#10;ZbukefIqqd/nuTJGo3Z/A9F/7N6zKH93f+9AxKuPddeL9Mu97l7vnfZerrxxdQNxDwVoXA1BHtGR&#10;iL4ecXW6BnmSWrm0u8iP+snSqerBrpS38/2I/8f4mPe69nff57nfz6J2PhmNlfTyNe+F+oX7Px44&#10;373L4FS+tRG/Xg3JqYWQ/DoO0fZYJPNGoOijtLfvKVcPz9s8P83rs/vIjvBY3dVlHdSvC7tn/AbJ&#10;pG8QnxyGvFY3k61zHYbG9RoowikPm7pnnopoOg8hLTyP2sB7iX0UYNgGm1Kuz97uyroaje3+JJEf&#10;v84oA9QvS6OolgGR9BgmkMisWYguvkDtO5ByPe8p5PkdQuL9zMLXiI4PQrznSzRnmkV2Ox5OElF6&#10;G8m4v8xdyxr3P6NcJt2A2u9WpC/2R/rabCSLurr6eA/8bDTOfoa8novlvFcHpCO9gXjvYTl50/gT&#10;5dGs80j0ubGurk9E3i1ENX5Tnm7yAgwxsy/N7BU3Q98umOku4tLmmNl9bra7UZBnaTfD/8Clv2Fm&#10;fSKz6s2t3KuT9hYON1kPHjZZimKzcu9Z3cN9h57VXd312933I1Zp9d7XZMF6zGTVeswqnzPEXf+b&#10;ySrqr3c2s0td2ZeYPGrPBfd2d+lHm6yi12S8y9Nm9prJg5rlWZ1gZodH2irv87dU+55vlRa31i7N&#10;5zsypyxvIfrczA5w+bes8vwLXb5P3PcZVu4ZxMzaBvW8N6e8y039daCZfWiixSLtMMjUNyNN3qYw&#10;fZqZ/d6Svi5KA/5zSKr+x5islkU8q/6zi7v3l+57j1TaRibL4jgzO8+lbxzcf6PJ6ni8Sw8tzpjZ&#10;ZqmyfT3T6b7Od5j6y1/fxrXPIDO73t3bL5XuafJW9327ycKWLvtYl3aPyaJ5a6R+n7vrT1l5NMVi&#10;lnhJzzZ5fe6v0p7eAn65KWriC6uku9jHv/sLZvZiJH2Yie89aNke9p9Y4lWeZ0nEgvesHuW+vWe1&#10;nyUeEDOz/TPKfcIU8XK5yUIby7N8qpz09dPdNd/3a0Xu9R7UQ02W7isjefz1100RDrE6XGeyuPo+&#10;Dz2rb5rGoafVa82sg0s7zV3zFvm1Lf6M2Md7VseZPEQzTHSTlb9k8tSbSQ54T1eY7wJ3/Vb3fYmV&#10;89GSmV0c5BmQ8Uzfd/eaZFyY/ryJ7nwb1tq2mFknS9A2SPuJu36q+w6jaXz7ezqJeVbPNI2R5vas&#10;+giSaWa2XiTdRy94WZF+9xXdtX1cOVnt/+fU+4dpQ03jOkbb1d79WpNH3POdMEorr1/2dNd8m++S&#10;0z4DUvVMp7U2s3+bxtXrJk/eNkGeRU18dbaZPeCeFXqyvGfV16U5PathO99n4qexPFul2qpIO5fM&#10;7KLUPRPNbJ1IuSXXBqNN42yGVUZzdTbJurmWeLA2C/JsE7RT6Ln1n69Nsvk5q/SslkzjfYxJRs0y&#10;5zlKfRZyaWYJ3Yeed+9ZNVN/fW2SoXl98JDLf6olntJlgjz+un/H8LkbBuknpNI2sPIoh3Mz6nFM&#10;UEbYzt0s8bq+ZNKjzap7VtOfCSb9+TWTnu2v97CkTU9yz7m5hnK9zrabiS5nmnTkkG+ko0vTEU0+&#10;Es+/e9o7v62VR/WFupr/nBuU4cvvbZJtE0y66TyT7pT1Lvu5+2816VZjLZHJsY/3oJ5t8ureGcnj&#10;rz9m0p+L1D/Ls+rT/+NZ3RNZFq5GVrrzUTx3GhOBXZD1chyy/PyecmvPJe7/hy7f3siaF2IQ8iC0&#10;BNoiy+EwZPUeh2Ksw00G/oYsVtsiK8FOyMtaBJNRnP7LaNe8+9DatdCqPj/h+2UI6s9wLYyPkf8E&#10;WTw3yynrYNSuvZEVcAL5FphlkAX0H2jd28OoT8K1HbOR16LaRjwdkRVqJrKY3YTodPUq94EssHNd&#10;/WPrKupBJ8rXIi6TlbGJeA15GBZDFsG5lK9fbmkMRLSzGVqvAcmxBp2Q1ftl5DH4DFmb5wRlXA3c&#10;g7zi1yNr7BoUw/eIPnwExKNovLbNyF9C62GmoHU5NyLL7PYFnpWmk6Zu/PUsWtfk63I3ydqZEIsh&#10;66i3PN5AfnRFNRRZBzY/0QXJmNuA7RAfOY7m3dRkMeSpvh3RWfeMfFsA/dzvMzPyLImsuvciT8Er&#10;aP1Rmo+au/9lRJ93I09gbGfEluRDHlNz0vyYCcfnggB/bMq5xNfneVn1ovvepAnPyFvn1paWbZe8&#10;fqkX+yLv0LXI03MO4ttpjEe6G8hDNIZK3W1BQa187BySMTwV8ZYhkXy7onW8f0Rj9XfI85PGZNRO&#10;s5AM+YqWaacdUBTZH4Ft0H4X4Zr3aa7Ofs3/p0hnbk0cJyBZux2ihxiWI6GD82qvdlWsgyKPFnb/&#10;L6ZcP6oFv0X6O5RHQzQHvkPy4StEE08jvapoPz+K+uN41IftkJ6SRn+S6NKBSIephq1QlKPv45Oo&#10;vjdLiC8QT1gEyZx/kx+xeBQaN9sg73035MleINEKEdTbJJsw/Dkj73cohGNvNNg3RZM10IYZeyM3&#10;/w7IDTwi57l/q7fiGdgXhbT+Hi1mvoVsheg6RGizUIhVLEwvD68hxfsFRBjVQgl+SPjw7hupXLwN&#10;ycTqGzQRWi6jnDYonMEL3ANQ6PauKGwvBh+yMRINmrxNbiajySwo7CWGPVDob0c08XgO9VmRkIUO&#10;qP99PzcnTkRKbUvChzEti8ION2zh54XwCuLSaELqJ6tHImZ8A5rMXk98owmQIrUIYvATqU1QGmqD&#10;H6Nx1gXtVhnDFkiwLYw26RmHDCGHF3hOc9HJxSSbXIQTUo/WlG8C8SZJeGZTMRMtfbi2znJaCpsi&#10;nvQi2hznZbLppR7sgpYUdKB8k5A0Tsi4nsZpaBLzFFqCcC3xzW/MpS2HQq7aEA8Bb0k+lMatiA7C&#10;unoa9JOylpow14NbM657WfW8+86SVXkYjNplWCStI5octKPl2iWrX+pBCelubyKD4Qyy2/BrxIv2&#10;RTxqK/KV2PmF71E7FZnknEEiS6Yj3WBwRt4LUEj3EqiPb8rINw4ZnfZEOu6GNL+B+AKkG3dEfXhD&#10;Rr7JyPC2G+qzNZDeFcM6aEI0DeklMeSF+NeLfoj/eYfNFSg8tin0vjzlG+a1BOai0FevV/Qk2SCz&#10;yL1/Qg6TrkjeH0n5Ept0WxfZjG4ztFSknft/BjJiNAXDEB2vj+Ttxqly01gb0XcnpN+1RzpaEX1p&#10;vqAVIo47UMUHUb4zWIgHEUG+5f5v4L79pPVR1DCPVXnucIrvxFULNkQMbyJ6t4dy8g5DA3wdZEFf&#10;n9rOnfWCza+fWJDOrB2ArCV3ZqT7tWGvo93wsrAjIuROyAO7D6KVdiTrDUJsi9qzC5rgDK1SV7/j&#10;YJZR4SjEhL9FzK8/osP90bqTPLSUkrgEiVL6GfnHA9SDtPLUhh+exrx1c7J7thc+GyLvmGfQeePs&#10;FWToWgOtpdogJ28MRcfZUaiPpyEL/SFo7dGOVBdE7WkeOpmH6NLztn4kQsdbbk9FFnCQUNmN+uln&#10;ElJEj6mznJaCF5ZTkdeic07eetAKKa2Po3X2oaFgBWTErIYN0YTaT5Qezsn7MBoXyyDlIEbf7VEf&#10;t/Rk9SBEB6Gn0PNJT4Mt6e2LoYQMp8NQpEXai7E1arPYrs8LIZnzEdkRFUVwH2qX2G6pC6HJTida&#10;rl2y+qUe/AhFO92O6PV5kvW9MTyIlGu/jrIWPtwFKfXDyN8xtF58htqp2i7uJ5Gsw56FJpQvZ+Rd&#10;BBkx/4be+VXyd89/ENGC3zehVnmVhw7AWshY6feJGVmlLu3Q+sDpVepyIJJ3+1AZ3bEI5XuYNCdW&#10;R1FFi7r/f0I00lTDzO9Sv4t4JJuKevT3W5FOdAJaR9odOetA/er7aSTVd2jeEEUhel3qHJJTKZqC&#10;1kjuhTpbiCMRP/K7CB+GjDib0/ze7GaB76jhSKGLHc2Rht9koDsaQN7LsbpLW8T9H1ng2ctXSe+C&#10;FM0QeZtnrEzyLpB9pI3HF2gy9iQilt7E696e8rDTTUg8e5chy2Ve2/Uh/i7daZmJzvvu05XEEt0a&#10;KVR7oIH1LPKUrkm2NeUopMRPRUzwecRsX0Hv7zd98eiOJr/vIivgyAJ1fZrsEIx1kScG5PneBAn+&#10;fdAGXbuj7d2z0Am1bxfyBXmtOJdEATwDCYnmQG8SOutMEuL0U9RPLakoxOBDQr5DtOM3VvPjbGnU&#10;/3nbpBsaZ72QMn8A6o9YyNdClI+znyJ6nYP6/2PiERs9SUKc7kCC6FBkVTwdCerzcurYCSkDPdEG&#10;CvVgPKL91xBP8e/jN6Tw/w2Nw2o8Ko02xPkISJH8rMr9m1GpyGRFSGShR0Yd+uTc4zeqWR8py1sh&#10;z3NzjkkQfzoIHUe0k/tOe1HSFvuRGWWUEH3fhWj2W/LDlWe6PEujJTD7uTLSfNHTVzea5+zKbYmP&#10;n8/I9h5CopD90JPV00jk5Zso8mkC2rDGe0yXITFiLIQ2wjkBjZcL0LieSP5xKiuSPT7CsE+PjjTf&#10;ZHVb4iHHWf2SxrrEDRlZSrTXvTwffq1K+V53WxQZnrMiVNLohGRdCbXRKqjv3kMKdlPRmex+GkL2&#10;GPG6gDcUz3HlvJDzLK8vDkcGrOdz8kLSTkuifstrpzWIv0fWRnYroP4cjuRatQ0ZfV2WQgabrLo8&#10;jzaW+xl6x2MoX+JwMOpLEN9bospzi8CXlz4G5wYUJdTUier6JEeaPI1kfbgxZFPQmUTullBb7YiM&#10;xWchfbXI8VMek1DU5nHI+DwUvfetJJutgaI3syKIfB+kI4AGUHuEZ4htEf98Hb3bS1Tyla5Ih56H&#10;HA2fID32HPf8wygWgVQNixAfHytFrlWFn6x+ihqv2tk8Pr0XEsyeEayOBl4f978WBSyGDRCzyLNK&#10;xJh4XySUeqEOyvMSg96nH8l5rn2pVGI6ufKyPIQrIwLJ2rmyG+qwLOYMxc4FbAp2ItlxOcRP3OdO&#10;FK8eYkX0XoZ2y3sRxcAfgaxJtyOl87nUPZ4hvIesn+EZZ7XiKDTxmIfC04cimlgU0d/hZE9WWyEa&#10;8spDkTM0i6AvyRqFf6HQ+Honq95r8Hv38fCM7ifIQNDU0JCiWBgx866IWR2BlH0flvUcMnqsSDLO&#10;vqW6t+hLxKD8OFuJyklhRxSWkzXOuiFhFlMoDyHhZT5k8xhEn8+49AFkezZ6IiVpI5qHToYjAdAb&#10;KV4rkhg3JiCankv2GXoxrI6MZlk80a+hicGHq2elQ/5k02N9913kPL80PkXvejYShLuQeD/fIVF8&#10;6sWVKKqnL4r+OREpFfMQTfvdoQcjmoyte++BhOxwtKSlyHl1X6Kx8BgyxCxBucLdEylDy1PsnPIs&#10;eAPvXRnpfyAeBjg/J6tbk+yiOgFFHkDleqxryZaRfgfSPANoa6To7p6RHjOIlmieyao3CGdFMl1F&#10;tvLnDfxZ66dByxpCeN1rJDL8NFV3y8NUFMK/EeWGpTtRRFo141gM67s6ZPGQX5EdyeA9VpPRBMTv&#10;lJ4HP8H7CI3DWtppOPF28uPpaPeJoR+V9JSeOPei+oTfn2ft+2ydjHzXIsPsL9Dk40jkoZyC5KIP&#10;Sx2FjD3NEeqZ3pHZLzX7C02fqJZIdsoFGbgOzchbCzqgvojpFV7ubEntES9XI+Pn0Yjv/gU5UPZw&#10;6TPIXlIJydpeUPvNIpt/VENr5IHfGRkMPkAyf1Xi+vEBJDR8DaKzM5Fcftiln0n5GbW1YkNkCM/T&#10;FWpaD+6F10wS61keprnvTsi64Bltb2QF6oEavd4NP5picS8hRWEyUgxnEF+vmcY0kgOKIXmfNGJW&#10;stDS/quMfEUwvzdHaUc8LO8I1H6GBoChUK61kJAaT+W60d7u29NCPYr/Ymjwg8KKx6A1ZF+6ut2I&#10;BkTWhgKLo0mgP46juSar6RCNk6lOY0XQJnLNKA+NW5qWXbPaFvXZFDT+fosmlBsgIXgs8g60RzTj&#10;x1kRhtbUcRaW3Z/KtmqLhO90tIxhKDKWvIro80Zkmd4ho24ll+6PLqhm4CqCq5BnaD80aU1jPOIX&#10;3ZAhqWj4Ud4mMdVQZCOjIor6lOpZopiHDAYLIevzoyTHN0yjfGOqevAuihg5FoWj9SWZAB1CIqD/&#10;UHnrf+DXXTUnfS+FFIJ6eWJT239+TVZ7obDftJ7hcWMTyutO82540xbVzfdfU9ulnvYssk42piN4&#10;OvUGuKbqbtVwvftOT4i7Ag/QNJ2nOaIpnkSeobWQsTgvRNy300yk1FdrJ5/ux3OsnYqst5+QU5cp&#10;qO2q1WUW6t9qfeaPfDwAbWLXleR4nV+SLGe4mpZZl70p0vn+QdNDSH9OssnpbVSP8iyK2HrNkI/2&#10;p3a+8hma2B2G5NkYNGH1tHgnxWh9Bop4moScO73zs5fBP2soGt/3I140EkXB/Z3KNbMlZMyYhtr4&#10;VZf/KWTMvQU5g7LWRxdFc0dN/Ufx64kG5lI5eSEJrx2FQtg+dP8/Q5b5ZxBxLEp9lf3YlROzkh6C&#10;rBnhJMGQ9WwlkjMjFyZfwPdC7+Ld0h9G8viNWo5AinovRFw7o0XaryBr9hfEzzAbh3YEi6VdH7nW&#10;nHiRJDyyNernfmhdyCxEmMe63/um7lsIMbvZ6P1mIUuN39zoQMRQjqZcAfOW1j7Ik1DPBkS/JhGG&#10;D6bKegBZqc9AAuhw4mv1/KD3zLk5wu82Rcwf5EV5MSdvLfBC6wrU3osja/0BiK5PR/T3MAolmhwp&#10;o174tk6vA14XWYH3RAYDEJPzY+YrRFNh2GOIIuNsPBr3pyLluhdad70dYuKfu7RPKA/t3JkktPU+&#10;Ejp5ELXnFESLhxNfS9/NPc8rnPXSyf7uWZcgfup3I/bKy7JoAnUCsmqeQfbZpGl8iQTbRhnpX2Vc&#10;B7UtyPgzPEjrgUKuikzShyHlKeZNOJP8TVv+jZTLW5EgfBTxorRwztrtshZcgZSmNognn+T++/Cs&#10;L0nOOY5hJHpHT99F1qz1Qoadldy96f0Y2iD6HIdkWj305XdO34q4MpzVh365iW/fH2Ky2g4pTx1R&#10;3/clCX17hcoQyIuQPMLdswwyMG2OQlwnIaPpV8St9XORF6GWHTT9jtFTUT81tV18v2xNMtbSyBtb&#10;fhJ5EuVRSh5DEO8MvWr+3NXuiC/UorutRJwHx/AAMr4thgymoP7YGLV1rWshR6DJVNauoyNz7n0F&#10;0dEeSOc4EtHEbcgwGJtE+nbqjXTSau3k00chI22snbwXbgCVO/mCDGYjqTy/3tdlRSSTqtWlB6LL&#10;Uai98/rsD8gTuRaagJyAwlC9R38mGl+xDeCagvSk969oPvAQktWbUq1qZYUAABboSURBVGwJmIc/&#10;rx7Uh7/NyVsrJqFJ2XlIt/EnBGyJJnPT0akHw5H+UAv+gGTZHqit02utq22s5A1QHVze/kgmPovm&#10;F9VOyYDyTUk9b++N5j2XIZkcRpNtTeLhv5dk1+KHEL9dGI3Rw6lvI9yP0Bxtr0jaEa78mrzwfrK6&#10;MhoQ1TYi8elfIYb3rPs/HA0mL2yWof6Z9XQUIhYiL7b8Q6Rge3e6D+XIQi+kvPjO+zgj3xTK18pc&#10;gQj0HjRQn0BheFkHbo8h/i6TaNkjb74kHvZyNRI4iyGiPh2FWnkly+/ACyLu0cH9e6EBfzyaVPrQ&#10;Vd/WqyBFsanHubQiWQDehuQw+DQORIJ0PxQyEioafndmP6CrrRmqhjBMpbmYfhpvUh4CNQAJnmOR&#10;4eZVNHGMhW3Xi8lIofYM93uSQ+5DpuLDyP6F2ndx8hWyXujd+qJ+yppYfU/5OLsMhYJfizYi+jGi&#10;ufRk9ShXvxJSnkJl9Vhk8TyDJAIkDU8nXvhWW0eUhzWQ8vQ86seX3PN6o9DNTdB4PB1NWO9GIdaD&#10;qTxyIoa5xPlIUXwYub+awhRiUkYdYhvkhBiBlJj10DvvjEKTl3W/m2O31KfRev3jkHf1chQS5yfF&#10;V5O/0c1sZBDp6+q7K/nGmBKi74fdPZ9SrsithiZuXjmph748hpK97CSG1dBYXhJNjuoJ7yqKC1Ek&#10;yDlIGQTR/tLEd62Nrbm8FCmu5yP6WA6FkmeFln1DbeNjNfftJ/5FaDgPQ+so4zPidc+iOz9x6Utt&#10;utvXyOD5aMF6TUe862ikB/RAk62rEW8diPhYLZhB0/jY2+77r+7ZFyBeegkaX0dS2V7pJV4+XD8P&#10;Pt3rhVk7LPs8sffI8l6m+6yWuoxCOnpeSOUHSA89BsnIOxHf29il/5nm9XZ5I8v9aLnZdUhGpydc&#10;RdeBHkQSrn0ZxZZe1IJvKdcrLkUTuYuQMbwfarNaJ6uvIr3mN2jyexbSV1+iumfY60t3Id1uAJI1&#10;jyEZtiVxg2QaXucdgHjfNCRfvYMphvQa2d9RvqEV6F1uQjr9qtSnN0+j9jlcJlohxrE5EszrkW/d&#10;9mGICyOLgN+t6wM0MfEetrz1mR6LIQbYnGE9w5Di472peWGTXZCwGoGOvRhJMgCL4D4kmNZDxOnX&#10;Ov034B0USrMRySBeLZWedeyDR0fksX0JhUH4MK8xiCFu4J6xAdnnHaaxa/D8nyCBGguP9TgEGQu6&#10;kKwTSGN9Vxd/7Eq1gV8Ny5HQ003UP/ktgqlootULeRZnU2mtbU5MRBPDa5EC8i5xZWkYCuP01r+8&#10;cbYk8rSPQHxmeEaZWbgFMV4/zpYnobeVkTElj4f8HHnAS8S9AH4dZif3nDzjVh4WQVb28chyeDfi&#10;h+E2/OcjA8DtSNkajui46Nb5WWiNlKAF8fxEj/VRBMc1yAvwLopKebUZn2Fo7eoaiKdPItmYbAaJ&#10;QTUPwxBNj0QTzX45eddEBpuR7p5wB0tPX75fmiu8LQurUBla7veUWBeFXjfnESpZeIJkN1W/SZWX&#10;BUVDBQ0pr/PQ+H8CvUtTaLwXlfLZr1n2YdKxMzqbC7F+qQefIHmwBeKt1U4z8Dx6URQ+WMtOq6ui&#10;Nu+O+mIE4rvjqL5mtFZ0ovr6+VPRJPIc5DG8GHlqYs6CUUgf9O20Lvlhw76dOiA9tzl3pB2LdCRf&#10;l37kh1L7usxB+mW1ulyB+qgzoo9TU2l5+xXUg9eQl3w11P67Im/dM0jHLwIf1TeO+nbCrQX+mLd1&#10;EQ03Ra8y5F1dCRm9/d4zRY6r8XgKOVw2Q7JwNzTenqD4Xg53ofe5FRnKsyaqvah+juoWSP7NZgE7&#10;xqYVWjuyH7KQLU32RLMNmpgMRKEFY0ksEXejl9sfEelRxGPFPUpIQbsGhZg0F25FHbUrUgLDw3rT&#10;2BcRw3so3LApZxR6obkcUopqmey2JFYnCf/NwjjkEfPM0r/LemgAg9bUHRz5vInCYW9Ck4etXX5D&#10;Vs89EANoT/XzUFdGHtL3SNaf+snyHDTBCJ9/BqKvnoiBh4OqhAb/G0iIN6eCOJOWOVQ7C14B6YmE&#10;bOjlnh+4EdHNRshKljfODkETqbFIONc6zkoktLkssiB6ZTv93GOppJMjkXK1JcmajNAAshniFf0Q&#10;k27K0SIlRPd9EO1fjDx5u1PpaZmOBFJ7ZIjYA7Xl/eTzzGrYBr1Hc4WmNzdKiNd/i4xIy6KIiOZY&#10;8x3iLvecQyn3wv+ZJExzJpVH23hch4wsi6H+yqPvI9FErCvyUof0vRl63+XRWGmutfMxrIxo+BMS&#10;vrEoSYTRWtS2qVc9GIT6d0c0XjuSRLn8GtF8CS11yFunNQNNNrysMpo26fsHMlim12KtgfhJH6S/&#10;VDtmranoS2W/1ItZKMLmQOSJWZbkSKwQbdFYeArts/At8fDVGFYike9zUB/2QQr1XlRGqtSLvZBx&#10;+facPIb0iofQZOFjtKTqNPdJY55L2xPxxiVReG8MrZGhcRDyUI5Hempz4jr3/NcRf8nbEOxIZEA5&#10;CI2BvDYB7Yr8NvISpvXqJ0hCkGeiPmxOw4mfcG2CDIP9Ed08SflGQtVwAfXtzVAL0u+/LE3Xqx5A&#10;kWInIP1/NPk7lsdwD9J5d0RrsfdGhoqHKA/1rRfpDatOoVJfOhTx2x0ofjzkD4ZWyIU8Be38+hWy&#10;/HeN5D0BTWYHI+Z1IUlo0whkTTgYDZglUThczDNWQqE8/mzWWl3vefgCWZD2Re709YnHTC+FOust&#10;xAi+oLa1LqDB2Q0J/+3RepMF4bD1NZHQfYhkvVyIDmjd09vuex5i0FDuVT0NKdTh5yoksLwnNT1Z&#10;HICY/CEoHOR0ZK2JoSfJ+WifI4Hem0SY/Nl9wudf6vIegCZO61Pu/VgLMcshiBE9mfH8puBSmhjG&#10;0AR0QWPqc5K1ivXusNwceB9Nzo5EzHp74rS2AhL6ftOb96gucEMchZStd9CE7J9IWelEsrvr02j8&#10;hnRyA4kgvRnR206pspdwZT6NvL5NpZNTkfHmFMTXfoXGTtZxEh+h8bER4qsHIeFUz27PZ7vvBXWy&#10;ugd634uRMvU8Mmy2BGYgetiO8vDqtHfhO7KjPp5FNHEi4qP7khybkca6Lu1Bl/eflI/PhRBdPIYU&#10;kebkQzF4PvweiRHAry8eiyaM9R7NVAuupHy/Ab/ZWDc0aTwL8ZFPyO6LjREf9LJqEMU2uEnjRyRe&#10;1BdS1/q7/xsig2ZLnZft+2UYzWucuQDR+pZoAnoB8WVFp6A+GIKMJ+dTfLOutGz39yyJwrNbQhb5&#10;fTxi63fTmIOU+n+iaIk3kJHqEioN5BcjQ8VOSJaeS9zrdyzSF15GvOMi4muQ68EViPfsgQxIZxE/&#10;6/4QZBB4BsmTy6hu6DJX/spB3vSGct8hvb+o17Mo7kUT/R3c936IPxadcH2C5PUPhePd9/toTDSV&#10;lmcjOb8Nkv3X07R5wA3ICbM3otPD0JzsDppnLwe/ESVoDnc5lfrSLWg5y17I8dcVGdYXCLRBQmwA&#10;ilF+Ayn6zyFl61UU3nsAUsiGoI0APqKSsAa4fCcjgXggUgZvQoN/KppInUbi9fsj9YeRhB15iXv2&#10;YYgQ/+be4X73rpujyVZ3NNleA1kz8nbMXB514Fw00d0aEdRryPrQG7VLc75HU/MMRW26CbImX4WI&#10;8EN3/49RnPoKaCAch/prAlIifu3KuY/sSdnf0RrHPZGycRxi8n6X4HOR8eJd1O9PIQH5LJp0LEqy&#10;zbY3aGyH2jctHLM2oDK0qcKlSEmcgcItj0ATmJ8hhuHDKJYm2b49jXQ40HIuzyNUHr10BqKR70jO&#10;Gm0JHIQs5ouhyfYByKNwDVL83uaHCT8ugnORVXhPJGgeQWP/EaTUbI3WDLZFnp3lkSDLUzQ3IAnp&#10;7uXyb0Ni9OhMYunem6R/r8sp8zYkSKcjq+dxaO3Pfkj5bY1ovxVS9GJ00i31e3GX53lkpLsQ0eAD&#10;rn7nIEaft+Msrk6rIaVvJskasM6IlmNh6+0y6rcsEriQv8aqCJpDMIblLIXkyztIMeuO5EBLhqNe&#10;j9Yl+aNSHqd8T4LRiH78uvpwXeppyBDpPaMDUf887dK3Q/Q9weXpQuLVKaFxsSnqzxHIw9CWeP/1&#10;IrHsL+TyDEbyOIbDqFyj34NEAbvcPWtnV6e/o0nzNPLPpCyCWujDEE9bHXkXV0Dh0n0Qn/81Gj9t&#10;SCI0HkV8dhHUxlciY/Lyroy8XYTXp7J9S2isg2TgOFfO5UiJfhnx1/NqeK8sHEblJLAHySY3l1Ef&#10;wrb/Fsnyi5Cnbh1Ep6cj3WRZpAudhGT8ySgSqVoovH9OB5Lzof9FEnH1ONn7cxRBN+LjYA0SfeCh&#10;AuXMRLrkI4jvnY3G542IXn6L5Ol4pH9chcb0moh/n4J0paURjZyJZOwJaO15U6LtQoR9NtnV8ybk&#10;LFkFGRhPQstclkS65nlIfzoWOZGKGjLvQzrwEe7/UMon/p7PpM8draX+ebgJyairSc6JvxQZmPak&#10;8qijV5Hc7I90rKZENRXBNkhXaY36+ueINz9Gst/K/U0suxdatgZJtENTcQlqv/MR/xuAaKUbMorW&#10;4yTZhWSDu2r60l5Inn2InA13EZ+At4SukJ1uZphZycx+Y2azzWy0+w7xufseaGY93H3hZ0Uzeydy&#10;bwwPmlnH4P7h7v73zOzdjGec5e6/PyjvV6k8y5rZEHf9q8izp5nZWDObamZ7ZTxniJkNM7MnrbI9&#10;pqXKnW5m/YN7u7u0h9wzrsl4xtNmNtnMPgvK/5FLv8r9fzpI3zyjPP/pamZfRN57Xur3DDObZGYj&#10;zWwFd9/JqfQtqzzjZvdut6fumWRmfUz0dLSZzXR5quGXrsz2qWuvVnl+TzOba6LHaRnlji3w7OeC&#10;/2+knuFp4HKXdkRGXaaa2QtmNsrMHq9S7/RnF1fujRl1/dpEH2aigUWC+2906Y+4PF0jz9jMpd3h&#10;vo8J0v/l3nGImX1SQ90xs1VNY3aOmX0Tqf9kM5toZuPNbMeMMj43szdd+80N7p9i4kdmoq3tLOFX&#10;o9z1L8ysdU4dO7jnDzGzEZE6mpl9lHE9jZCvzUz9nm5m/3a/7zKzNqnnb+quP+i+906llSyhreFm&#10;9l2qzLdcnifM7EsrH7tZ+NDK3/10d933/VpW2T5LubRng7IeSOWZZGYvmtr6H5EyMLPr3H3heJqY&#10;+n2xaazcE9x7WlDPtTOeEfvslSp/6Yw6mZltHaT1NtHtLJe+QaTsjUx0Nt3Mxlklxrm0r8xs49R9&#10;uwT53orcG+KT4P9UM+uceo8pViknstDKRDceL7nvYy3ehnnt385dGxw844WMsrL4hMe9Jv3B6xA/&#10;jdQ/pHUvy+42s7apcld01++MlBHDbsHzxpj67gMTnwjr7d/9SVNf3xGkX2vqp08LPr9V6t493TXf&#10;5rtEno+JRkP6Scuokpmd5PJ9ZXHdbaT7fsbMFo88Y2eXfk9w3zmmflrCzN531z41s0Uz6pr3GWoJ&#10;j6yGxyzezg+59PAdOliiD75r5bx5oCXtdJRpvH8T5PHwOu4Lluhg6c82Lt332WEZ7/q1iRenMTLI&#10;c5BJB/vOfYfwNP+amfWKPGOjVN7NgrRTUmkHBWmdTPJwukvfI0g/0F0PaeEol75h0AYnROq2v3un&#10;cVbe5xPMbDWTDmIm+hplZq+b+ics5xor7/fukTxZnwlmNsi1X8hPJlmir4w1yehaaHl7iyPkD7HP&#10;TkH77RfJc5xpPI+2cjr6zqT3nhuUsUqB577t8o63OK/zn9YmPvKeles8r5j0GjP1VxqDUvd/bOJX&#10;XqeMPcPXP5zD7ezSd3f/704nhoVsYpWDzGOySdloE7kv/eloZjdYfACaaZCcZuWM23+Gp/JlTVZ/&#10;bGbfR8oNB11HkzI/PZLXTA26es57DMm4b55pEL5qUgaXj9zbPbgna7K6j8WV0CUt6Y/YZC9UvGKf&#10;TqZ+yMIsM3vYEkbYyhKFaZjFmUf6s55JyIf175PKs64lQi6GQWbWL5U/rXjuW+Adr7NKWvDvVStG&#10;ufqMSJWfpoHhVq4opT/pPmrKZDWG6SYB9xcz+0XGs28M7smbrHrEJqsetU5WMSnUd1pc+M8zs5fN&#10;bLmc+z+P3GemietYk+Jwomly4e9JC+qzC9TxbDP7NvKM6zOenYdpZvZo5PpnJiEdjptNg3x7W2X9&#10;drTKcfK5S3vCimGimW0RlHt6kCc2WW1rUsZDpCelkzKupz9bWJzXhvxhpFXyzNOCPM01WV3RPf9d&#10;i/OzmyP13STI08PUB3MieeeY2mOJ4J6DXXpT6MtMEzozs26W8LkimGUS9Fh5n84wKTYxmVut/UsW&#10;nwxmKSJZn7VM/G5nq+yL1U0TsCx8Y2YXWKVRasWce0I8ZVLStg2uf2BxQwWWTFY9YpPVIkj3i//s&#10;GeTJmqzGaPSDSL7NTYpiDJPN7ELLNur1sHLdy2OAS1/Y1W8Xy+fleZ+hGXULMdoq9bKwnWMT7pJJ&#10;8Q8NB28F+TYwtV8MU8zsMsvWcbcJ8mdNVn8XKXt8JN/alt0uU83sTyYajD0jb7La1dTn31l8YnKW&#10;VWI3l7aMxR0dflK6Ycb18LOyacyF/P/HlkxWs+rvP9cE+WqdrMYw19Quz5qMd0vmlJH12amiVBlz&#10;s5x4effGJqueNl6MPGcpSyZ7HtUmq6ul8l5WoI7HW+Ik8HjHNMbusEq8nbo3zYOyZEQ/03gIsatL&#10;72mVxlsJjQiWQCF5a6MQhMEo/LCWtSLtUMjp+igM7BsUhpW3tnNhkoXP88heV9GRyh3dpmeU2xaF&#10;l2yIwivfROFV1bbxTtcljalUb4dWlC8sn032cQGx50whWduyEJVrf6eRf/xCGoui9YR9kGt/LNoh&#10;7xnK12Ok65xX3xCdULhRyZUbW+PRnWTjprkoFOUlFB6XRgeSTWbSbZCHEgrtWASt//BhpJejELMi&#10;2JzkDM5PULgalPfNLLJDxdPrhOZQfKOttsQ3eSna/uE4mExlaGUbyhfJz6A83Cb9jkbTz3Btj5YQ&#10;bIBo4g001qptmNCZeChSXv+3J1kHU3QslNA6tcVRaKIPmbyX4md+9UVhg+0QHW+N6j8KhVvF6hu2&#10;fxafKrnyl0X986rLGxv/McRoJt1OkM27wjri8vlQ0y4Z10PE6lpCY78jeq/YboVF6xlDegzFaKYz&#10;oo/YeCqhNdHp/Qq2I76WthMKs/Tnrr6OlsXE2sIfrg4Ky+wfqVcMPZGs9bvWLo7CVmPyLoZ037RB&#10;/LYLoqW8NYrV2j+UZ5Avn5uKVdD6yyXcM79B6/oGER/jrSm+Y2b6nZZGOsHHJBvPxFBC9OMRjrGm&#10;9ItHyPuz+EKtbf8jEt3tS0RPH1B9PLWjcmfaPJlXK7L0qRAzqVw7HLZznmwoIb2zF5INr0XKA4Vn&#10;b4DG9GjUTu+T307VZGm6Dp2Da3mydXFXl3VRaPfrSJ7kybV0XWIysJN7ZpYushvl+8UcTrIZXcgP&#10;IOmXsA1i/ZVGTzSuO6BQ8m+ppLVJkfugtn4PEVu7bWgc1rtufAmSXd5x5T1DsbWq4bjPoiGP3kgv&#10;aIvoYhy1y8t0e2fxmRh6oHedi3T1WVTnR801h6ugwazJagMN/DfiRpLNFTah+JEYJTRQ2lM+WW3g&#10;fxP+jDXQ2tdazgkcjoTHXIpNIhv470AHkh176z2PMD1ZPYHadrx/ERnPIJmsNtBAAw20BNohR8YU&#10;FoyTBhpoIIrm3L66gQYWJIyqIa/VmL+B/x3U2u8NOvnfxAzkWal3ohqiQV8NNNDAgopZKLqgMVFt&#10;YIFGY7LawP8ijNp3Tmsoif8/8VWN+Rt00kAtaNBXAw000EADDdSB/wMAZ3eS5fph5AAAAABJRU5E&#10;rkJgglBLAwQUAAYACAAAACEAo1PMdt0AAAAGAQAADwAAAGRycy9kb3ducmV2LnhtbEyPQWvCQBCF&#10;74X+h2UKvdVNGio1zUZE2p5EqAribcyOSTA7G7JrEv99Vy/tZXjDG977JpuPphE9da62rCCeRCCI&#10;C6trLhXstl8v7yCcR9bYWCYFV3Iwzx8fMky1HfiH+o0vRQhhl6KCyvs2ldIVFRl0E9sSB+9kO4M+&#10;rF0pdYdDCDeNfI2iqTRYc2iosKVlRcV5czEKvgccFkn82a/Op+X1sH1b71cxKfX8NC4+QHga/d8x&#10;3PADOuSB6WgvrJ1oFIRH/H3evHgWTUEcg0qSBGSeyf/4+S8A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YvHM5akEAAA1EwAADgAAAAAAAAAAAAAAAAA6AgAAZHJz&#10;L2Uyb0RvYy54bWxQSwECLQAKAAAAAAAAACEApucNwlQ3AABUNwAAFAAAAAAAAAAAAAAAAAAPBwAA&#10;ZHJzL21lZGlhL2ltYWdlMS5wbmdQSwECLQAUAAYACAAAACEAo1PMdt0AAAAGAQAADwAAAAAAAAAA&#10;AAAAAACVPgAAZHJzL2Rvd25yZXYueG1sUEsBAi0AFAAGAAgAAAAhAKomDr68AAAAIQEAABkAAAAA&#10;AAAAAAAAAAAAnz8AAGRycy9fcmVscy9lMm9Eb2MueG1sLnJlbHNQSwUGAAAAAAYABgB8AQAAkkAA&#10;AAAA&#10;">
              <v:shape id="Graphic 355" o:spid="_x0000_s1027" style="position:absolute;width:75603;height:8464;visibility:visible;mso-wrap-style:square;v-text-anchor:top" coordsize="7560309,846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4+IxgAAANwAAAAPAAAAZHJzL2Rvd25yZXYueG1sRI9Pa8JA&#10;FMTvgt9heUJvumklRaKr9A+lxeJBzcXbI/tMgtm3cXc1aT+9Wyh4HGbmN8xi1ZtGXMn52rKCx0kC&#10;griwuuZSQb7/GM9A+ICssbFMCn7Iw2o5HCww07bjLV13oRQRwj5DBVUIbSalLyoy6Ce2JY7e0TqD&#10;IUpXSu2wi3DTyKckeZYGa44LFbb0VlFx2l2MgkM6de37Z26/8/WmO5/3l99XT0o9jPqXOYhAfbiH&#10;/9tfWsE0TeHvTDwCcnkDAAD//wMAUEsBAi0AFAAGAAgAAAAhANvh9svuAAAAhQEAABMAAAAAAAAA&#10;AAAAAAAAAAAAAFtDb250ZW50X1R5cGVzXS54bWxQSwECLQAUAAYACAAAACEAWvQsW78AAAAVAQAA&#10;CwAAAAAAAAAAAAAAAAAfAQAAX3JlbHMvLnJlbHNQSwECLQAUAAYACAAAACEAQaePiMYAAADcAAAA&#10;DwAAAAAAAAAAAAAAAAAHAgAAZHJzL2Rvd25yZXYueG1sUEsFBgAAAAADAAMAtwAAAPoCAAAAAA==&#10;" path="m509765,723607l,723607,,846201r509765,l509765,723607xem509765,l,,,543610r509765,l509765,xem7560005,723607r-6780238,l779767,846201r6780238,l7560005,723607xem7560005,l779767,r,543610l7560005,543610,7560005,xe" fillcolor="#98c13c" stroked="f">
                <v:path arrowok="t"/>
              </v:shape>
              <v:shape id="Graphic 356" o:spid="_x0000_s1028" style="position:absolute;left:5097;width:2705;height:8464;visibility:visible;mso-wrap-style:square;v-text-anchor:top" coordsize="270510,846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I6WxAAAANwAAAAPAAAAZHJzL2Rvd25yZXYueG1sRI9Bi8Iw&#10;FITvgv8hvAVvmqqsSDWKSBVvy1oRj4/m2ZZtXkoTbbu/frMgeBxm5htmve1MJZ7UuNKygukkAkGc&#10;WV1yruCSHsZLEM4ja6wsk4KeHGw3w8EaY21b/qbn2eciQNjFqKDwvo6ldFlBBt3E1sTBu9vGoA+y&#10;yaVusA1wU8lZFC2kwZLDQoE17QvKfs4PoyBx6fR2uCVtnvRX+7vrj/vsa6bU6KPbrUB46vw7/Gqf&#10;tIL55wL+z4QjIDd/AAAA//8DAFBLAQItABQABgAIAAAAIQDb4fbL7gAAAIUBAAATAAAAAAAAAAAA&#10;AAAAAAAAAABbQ29udGVudF9UeXBlc10ueG1sUEsBAi0AFAAGAAgAAAAhAFr0LFu/AAAAFQEAAAsA&#10;AAAAAAAAAAAAAAAAHwEAAF9yZWxzLy5yZWxzUEsBAi0AFAAGAAgAAAAhACq8jpbEAAAA3AAAAA8A&#10;AAAAAAAAAAAAAAAABwIAAGRycy9kb3ducmV2LnhtbFBLBQYAAAAAAwADALcAAAD4AgAAAAA=&#10;" path="m270002,723607l,723607,,846201r270002,l270002,723607xem270002,l,,,543610r270002,l270002,xe" fillcolor="#b2cd5a" stroked="f">
                <v:path arrowok="t"/>
              </v:shape>
              <v:shape id="Graphic 357" o:spid="_x0000_s1029" style="position:absolute;top:5436;width:75603;height:1803;visibility:visible;mso-wrap-style:square;v-text-anchor:top" coordsize="7560309,180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m0zxQAAANwAAAAPAAAAZHJzL2Rvd25yZXYueG1sRI9PawIx&#10;FMTvBb9DeEJvNevaqqxGkdJCL1L8A+rtsXnuLm5ewibq6qc3hYLHYWZ+w0znranFhRpfWVbQ7yUg&#10;iHOrKy4UbDffb2MQPiBrrC2Tght5mM86L1PMtL3yii7rUIgIYZ+hgjIEl0np85IM+p51xNE72sZg&#10;iLIppG7wGuGmlmmSDKXBiuNCiY4+S8pP67NRYPcD2iWH8+Y9vX85tySXVr9Oqdduu5iACNSGZ/i/&#10;/aMVDD5G8HcmHgE5ewAAAP//AwBQSwECLQAUAAYACAAAACEA2+H2y+4AAACFAQAAEwAAAAAAAAAA&#10;AAAAAAAAAAAAW0NvbnRlbnRfVHlwZXNdLnhtbFBLAQItABQABgAIAAAAIQBa9CxbvwAAABUBAAAL&#10;AAAAAAAAAAAAAAAAAB8BAABfcmVscy8ucmVsc1BLAQItABQABgAIAAAAIQCZ3m0zxQAAANwAAAAP&#10;AAAAAAAAAAAAAAAAAAcCAABkcnMvZG93bnJldi54bWxQSwUGAAAAAAMAAwC3AAAA+QIAAAAA&#10;" path="m,l,179997r7560005,l7560005,,,xe" fillcolor="#007b3a"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58" o:spid="_x0000_s1030" type="#_x0000_t75" style="position:absolute;left:10821;top:5768;width:44719;height:11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4TPwAAAANwAAAAPAAAAZHJzL2Rvd25yZXYueG1sRE9NawIx&#10;EL0X+h/CFLzVpIqlbI0iBVEEhe4Weh02092tyWRJoq7/3hwEj4/3PV8Ozoozhdh51vA2ViCIa286&#10;bjT8VOvXDxAxIRu0nknDlSIsF89PcyyMv/A3ncvUiBzCsUANbUp9IWWsW3IYx74nztyfDw5ThqGR&#10;JuAlhzsrJ0q9S4cd54YWe/pqqT6WJ6fhYDe/spr9x84qLHdBmWao9lqPXobVJ4hEQ3qI7+6t0TCd&#10;5bX5TD4CcnEDAAD//wMAUEsBAi0AFAAGAAgAAAAhANvh9svuAAAAhQEAABMAAAAAAAAAAAAAAAAA&#10;AAAAAFtDb250ZW50X1R5cGVzXS54bWxQSwECLQAUAAYACAAAACEAWvQsW78AAAAVAQAACwAAAAAA&#10;AAAAAAAAAAAfAQAAX3JlbHMvLnJlbHNQSwECLQAUAAYACAAAACEAJL+Ez8AAAADcAAAADwAAAAAA&#10;AAAAAAAAAAAHAgAAZHJzL2Rvd25yZXYueG1sUEsFBgAAAAADAAMAtwAAAPQCAAAAAA==&#10;">
                <v:imagedata r:id="rId2" o:title=""/>
              </v:shape>
              <w10:wrap anchorx="page" anchory="page"/>
            </v:group>
          </w:pict>
        </mc:Fallback>
      </mc:AlternateContent>
    </w:r>
    <w:r>
      <w:rPr>
        <w:noProof/>
        <w:sz w:val="20"/>
      </w:rPr>
      <mc:AlternateContent>
        <mc:Choice Requires="wps">
          <w:drawing>
            <wp:anchor distT="0" distB="0" distL="0" distR="0" simplePos="0" relativeHeight="251671552" behindDoc="1" locked="0" layoutInCell="1" allowOverlap="1" wp14:anchorId="602AEE51" wp14:editId="6A05712A">
              <wp:simplePos x="0" y="0"/>
              <wp:positionH relativeFrom="page">
                <wp:posOffset>1067299</wp:posOffset>
              </wp:positionH>
              <wp:positionV relativeFrom="page">
                <wp:posOffset>559162</wp:posOffset>
              </wp:positionV>
              <wp:extent cx="4505325" cy="149225"/>
              <wp:effectExtent l="0" t="0" r="0" b="0"/>
              <wp:wrapNone/>
              <wp:docPr id="359" name="Textbox 3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05325" cy="149225"/>
                      </a:xfrm>
                      <a:prstGeom prst="rect">
                        <a:avLst/>
                      </a:prstGeom>
                    </wps:spPr>
                    <wps:txbx>
                      <w:txbxContent>
                        <w:p w14:paraId="34C76665" w14:textId="77777777" w:rsidR="00884A71" w:rsidRDefault="00884A71">
                          <w:pPr>
                            <w:spacing w:before="8"/>
                            <w:ind w:left="20"/>
                            <w:rPr>
                              <w:rFonts w:ascii="Times New Roman" w:hAnsi="Times New Roman"/>
                              <w:sz w:val="18"/>
                            </w:rPr>
                          </w:pPr>
                          <w:r>
                            <w:rPr>
                              <w:rFonts w:ascii="Times New Roman" w:hAnsi="Times New Roman"/>
                              <w:color w:val="FFFFFF"/>
                              <w:w w:val="120"/>
                              <w:sz w:val="18"/>
                            </w:rPr>
                            <w:t>ОснОвні</w:t>
                          </w:r>
                          <w:r>
                            <w:rPr>
                              <w:rFonts w:ascii="Times New Roman" w:hAnsi="Times New Roman"/>
                              <w:color w:val="FFFFFF"/>
                              <w:spacing w:val="60"/>
                              <w:w w:val="120"/>
                              <w:sz w:val="18"/>
                            </w:rPr>
                            <w:t xml:space="preserve"> </w:t>
                          </w:r>
                          <w:r>
                            <w:rPr>
                              <w:rFonts w:ascii="Times New Roman" w:hAnsi="Times New Roman"/>
                              <w:color w:val="FFFFFF"/>
                              <w:w w:val="120"/>
                              <w:sz w:val="18"/>
                            </w:rPr>
                            <w:t>засади</w:t>
                          </w:r>
                          <w:r>
                            <w:rPr>
                              <w:rFonts w:ascii="Times New Roman" w:hAnsi="Times New Roman"/>
                              <w:color w:val="FFFFFF"/>
                              <w:spacing w:val="61"/>
                              <w:w w:val="120"/>
                              <w:sz w:val="18"/>
                            </w:rPr>
                            <w:t xml:space="preserve"> </w:t>
                          </w:r>
                          <w:r>
                            <w:rPr>
                              <w:rFonts w:ascii="Times New Roman" w:hAnsi="Times New Roman"/>
                              <w:color w:val="FFFFFF"/>
                              <w:w w:val="120"/>
                              <w:sz w:val="18"/>
                            </w:rPr>
                            <w:t>впрОвадження</w:t>
                          </w:r>
                          <w:r>
                            <w:rPr>
                              <w:rFonts w:ascii="Times New Roman" w:hAnsi="Times New Roman"/>
                              <w:color w:val="FFFFFF"/>
                              <w:spacing w:val="60"/>
                              <w:w w:val="120"/>
                              <w:sz w:val="18"/>
                            </w:rPr>
                            <w:t xml:space="preserve"> </w:t>
                          </w:r>
                          <w:r>
                            <w:rPr>
                              <w:rFonts w:ascii="Times New Roman" w:hAnsi="Times New Roman"/>
                              <w:color w:val="FFFFFF"/>
                              <w:w w:val="120"/>
                              <w:sz w:val="18"/>
                            </w:rPr>
                            <w:t>мОделі</w:t>
                          </w:r>
                          <w:r>
                            <w:rPr>
                              <w:rFonts w:ascii="Times New Roman" w:hAnsi="Times New Roman"/>
                              <w:color w:val="FFFFFF"/>
                              <w:spacing w:val="61"/>
                              <w:w w:val="120"/>
                              <w:sz w:val="18"/>
                            </w:rPr>
                            <w:t xml:space="preserve"> </w:t>
                          </w:r>
                          <w:r>
                            <w:rPr>
                              <w:rFonts w:ascii="Times New Roman" w:hAnsi="Times New Roman"/>
                              <w:color w:val="FFFFFF"/>
                              <w:w w:val="120"/>
                              <w:sz w:val="18"/>
                            </w:rPr>
                            <w:t>«зеленОї»</w:t>
                          </w:r>
                          <w:r>
                            <w:rPr>
                              <w:rFonts w:ascii="Times New Roman" w:hAnsi="Times New Roman"/>
                              <w:color w:val="FFFFFF"/>
                              <w:spacing w:val="61"/>
                              <w:w w:val="120"/>
                              <w:sz w:val="18"/>
                            </w:rPr>
                            <w:t xml:space="preserve"> </w:t>
                          </w:r>
                          <w:r>
                            <w:rPr>
                              <w:rFonts w:ascii="Times New Roman" w:hAnsi="Times New Roman"/>
                              <w:color w:val="FFFFFF"/>
                              <w:w w:val="120"/>
                              <w:sz w:val="18"/>
                            </w:rPr>
                            <w:t>екОнОміки</w:t>
                          </w:r>
                          <w:r>
                            <w:rPr>
                              <w:rFonts w:ascii="Times New Roman" w:hAnsi="Times New Roman"/>
                              <w:color w:val="FFFFFF"/>
                              <w:spacing w:val="60"/>
                              <w:w w:val="120"/>
                              <w:sz w:val="18"/>
                            </w:rPr>
                            <w:t xml:space="preserve"> </w:t>
                          </w:r>
                          <w:r>
                            <w:rPr>
                              <w:rFonts w:ascii="Times New Roman" w:hAnsi="Times New Roman"/>
                              <w:color w:val="FFFFFF"/>
                              <w:w w:val="120"/>
                              <w:sz w:val="18"/>
                            </w:rPr>
                            <w:t>в</w:t>
                          </w:r>
                          <w:r>
                            <w:rPr>
                              <w:rFonts w:ascii="Times New Roman" w:hAnsi="Times New Roman"/>
                              <w:color w:val="FFFFFF"/>
                              <w:spacing w:val="61"/>
                              <w:w w:val="120"/>
                              <w:sz w:val="18"/>
                            </w:rPr>
                            <w:t xml:space="preserve"> </w:t>
                          </w:r>
                          <w:r>
                            <w:rPr>
                              <w:rFonts w:ascii="Times New Roman" w:hAnsi="Times New Roman"/>
                              <w:color w:val="FFFFFF"/>
                              <w:spacing w:val="-2"/>
                              <w:w w:val="120"/>
                              <w:sz w:val="18"/>
                            </w:rPr>
                            <w:t>Україні</w:t>
                          </w:r>
                        </w:p>
                      </w:txbxContent>
                    </wps:txbx>
                    <wps:bodyPr wrap="square" lIns="0" tIns="0" rIns="0" bIns="0" rtlCol="0">
                      <a:noAutofit/>
                    </wps:bodyPr>
                  </wps:wsp>
                </a:graphicData>
              </a:graphic>
            </wp:anchor>
          </w:drawing>
        </mc:Choice>
        <mc:Fallback>
          <w:pict>
            <v:shapetype w14:anchorId="602AEE51" id="_x0000_t202" coordsize="21600,21600" o:spt="202" path="m,l,21600r21600,l21600,xe">
              <v:stroke joinstyle="miter"/>
              <v:path gradientshapeok="t" o:connecttype="rect"/>
            </v:shapetype>
            <v:shape id="Textbox 359" o:spid="_x0000_s1086" type="#_x0000_t202" style="position:absolute;margin-left:84.05pt;margin-top:44.05pt;width:354.75pt;height:11.75pt;z-index:-251644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za0qgEAAEMDAAAOAAAAZHJzL2Uyb0RvYy54bWysUlFv2yAQfp/U/4B4b+ykzbRacaq11aZJ&#10;1Tap7Q/AGGI0wzGOxM6/34GdtFrfpr3AAR/ffd/dbW5H27ODCmjA1Xy5KDlTTkJr3K7mL89fLj9x&#10;hlG4VvTgVM2PCvnt9uLDZvCVWkEHfasCIxKH1eBr3sXoq6JA2SkrcAFeOXrUEKyIdAy7og1iIHbb&#10;F6uy/FgMEFofQCpEun2YHvk282utZPyhNarI+pqTtpjXkNcmrcV2I6pdEL4zcpYh/kGFFcZR0jPV&#10;g4iC7YN5R2WNDICg40KCLUBrI1X2QG6W5V9unjrhVfZCxUF/LhP+P1r5/fAzMNPW/Gp9w5kTlpr0&#10;rMbYwMjSFRVo8FgR7skTMo53MFKjs1n0jyB/IUGKN5jpAxI6FWTUwaadrDL6SD04nutOaZiky+t1&#10;ub5arTmT9La8vllRnEhff/uA8asCy1JQ80B9zQrE4RHjBD1BZjFT/iQrjs04u2igPZKJgfpdc/y9&#10;F0Fx1n9zVNA0HKcgnILmFITY30MeoeTFwed9BG1y5pRi4p0zU6ey9nmq0ii8PWfU6+xv/wAAAP//&#10;AwBQSwMEFAAGAAgAAAAhAImR84jeAAAACgEAAA8AAABkcnMvZG93bnJldi54bWxMj8FOwzAQRO9I&#10;/IO1SNyoEw5uCHGqCsEJCZGmB45OvE2ixusQu234e7YnOK1G8zQ7U2wWN4ozzmHwpCFdJSCQWm8H&#10;6jTs67eHDESIhqwZPaGGHwywKW9vCpNbf6EKz7vYCQ6hkBsNfYxTLmVoe3QmrPyExN7Bz85ElnMn&#10;7WwuHO5G+ZgkSjozEH/ozYQvPbbH3clp2H5R9Tp8fzSf1aEa6vopoXd11Pr+btk+g4i4xD8YrvW5&#10;OpTcqfEnskGMrFWWMqohu14GsvVagWjYSVMFsizk/wnlLwAAAP//AwBQSwECLQAUAAYACAAAACEA&#10;toM4kv4AAADhAQAAEwAAAAAAAAAAAAAAAAAAAAAAW0NvbnRlbnRfVHlwZXNdLnhtbFBLAQItABQA&#10;BgAIAAAAIQA4/SH/1gAAAJQBAAALAAAAAAAAAAAAAAAAAC8BAABfcmVscy8ucmVsc1BLAQItABQA&#10;BgAIAAAAIQAi0za0qgEAAEMDAAAOAAAAAAAAAAAAAAAAAC4CAABkcnMvZTJvRG9jLnhtbFBLAQIt&#10;ABQABgAIAAAAIQCJkfOI3gAAAAoBAAAPAAAAAAAAAAAAAAAAAAQEAABkcnMvZG93bnJldi54bWxQ&#10;SwUGAAAAAAQABADzAAAADwUAAAAA&#10;" filled="f" stroked="f">
              <v:textbox inset="0,0,0,0">
                <w:txbxContent>
                  <w:p w14:paraId="34C76665" w14:textId="77777777" w:rsidR="00884A71" w:rsidRDefault="00884A71">
                    <w:pPr>
                      <w:spacing w:before="8"/>
                      <w:ind w:left="20"/>
                      <w:rPr>
                        <w:rFonts w:ascii="Times New Roman" w:hAnsi="Times New Roman"/>
                        <w:sz w:val="18"/>
                      </w:rPr>
                    </w:pPr>
                    <w:r>
                      <w:rPr>
                        <w:rFonts w:ascii="Times New Roman" w:hAnsi="Times New Roman"/>
                        <w:color w:val="FFFFFF"/>
                        <w:w w:val="120"/>
                        <w:sz w:val="18"/>
                      </w:rPr>
                      <w:t>ОснОвні</w:t>
                    </w:r>
                    <w:r>
                      <w:rPr>
                        <w:rFonts w:ascii="Times New Roman" w:hAnsi="Times New Roman"/>
                        <w:color w:val="FFFFFF"/>
                        <w:spacing w:val="60"/>
                        <w:w w:val="120"/>
                        <w:sz w:val="18"/>
                      </w:rPr>
                      <w:t xml:space="preserve"> </w:t>
                    </w:r>
                    <w:r>
                      <w:rPr>
                        <w:rFonts w:ascii="Times New Roman" w:hAnsi="Times New Roman"/>
                        <w:color w:val="FFFFFF"/>
                        <w:w w:val="120"/>
                        <w:sz w:val="18"/>
                      </w:rPr>
                      <w:t>засади</w:t>
                    </w:r>
                    <w:r>
                      <w:rPr>
                        <w:rFonts w:ascii="Times New Roman" w:hAnsi="Times New Roman"/>
                        <w:color w:val="FFFFFF"/>
                        <w:spacing w:val="61"/>
                        <w:w w:val="120"/>
                        <w:sz w:val="18"/>
                      </w:rPr>
                      <w:t xml:space="preserve"> </w:t>
                    </w:r>
                    <w:r>
                      <w:rPr>
                        <w:rFonts w:ascii="Times New Roman" w:hAnsi="Times New Roman"/>
                        <w:color w:val="FFFFFF"/>
                        <w:w w:val="120"/>
                        <w:sz w:val="18"/>
                      </w:rPr>
                      <w:t>впрОвадження</w:t>
                    </w:r>
                    <w:r>
                      <w:rPr>
                        <w:rFonts w:ascii="Times New Roman" w:hAnsi="Times New Roman"/>
                        <w:color w:val="FFFFFF"/>
                        <w:spacing w:val="60"/>
                        <w:w w:val="120"/>
                        <w:sz w:val="18"/>
                      </w:rPr>
                      <w:t xml:space="preserve"> </w:t>
                    </w:r>
                    <w:r>
                      <w:rPr>
                        <w:rFonts w:ascii="Times New Roman" w:hAnsi="Times New Roman"/>
                        <w:color w:val="FFFFFF"/>
                        <w:w w:val="120"/>
                        <w:sz w:val="18"/>
                      </w:rPr>
                      <w:t>мОделі</w:t>
                    </w:r>
                    <w:r>
                      <w:rPr>
                        <w:rFonts w:ascii="Times New Roman" w:hAnsi="Times New Roman"/>
                        <w:color w:val="FFFFFF"/>
                        <w:spacing w:val="61"/>
                        <w:w w:val="120"/>
                        <w:sz w:val="18"/>
                      </w:rPr>
                      <w:t xml:space="preserve"> </w:t>
                    </w:r>
                    <w:r>
                      <w:rPr>
                        <w:rFonts w:ascii="Times New Roman" w:hAnsi="Times New Roman"/>
                        <w:color w:val="FFFFFF"/>
                        <w:w w:val="120"/>
                        <w:sz w:val="18"/>
                      </w:rPr>
                      <w:t>«зеленОї»</w:t>
                    </w:r>
                    <w:r>
                      <w:rPr>
                        <w:rFonts w:ascii="Times New Roman" w:hAnsi="Times New Roman"/>
                        <w:color w:val="FFFFFF"/>
                        <w:spacing w:val="61"/>
                        <w:w w:val="120"/>
                        <w:sz w:val="18"/>
                      </w:rPr>
                      <w:t xml:space="preserve"> </w:t>
                    </w:r>
                    <w:r>
                      <w:rPr>
                        <w:rFonts w:ascii="Times New Roman" w:hAnsi="Times New Roman"/>
                        <w:color w:val="FFFFFF"/>
                        <w:w w:val="120"/>
                        <w:sz w:val="18"/>
                      </w:rPr>
                      <w:t>екОнОміки</w:t>
                    </w:r>
                    <w:r>
                      <w:rPr>
                        <w:rFonts w:ascii="Times New Roman" w:hAnsi="Times New Roman"/>
                        <w:color w:val="FFFFFF"/>
                        <w:spacing w:val="60"/>
                        <w:w w:val="120"/>
                        <w:sz w:val="18"/>
                      </w:rPr>
                      <w:t xml:space="preserve"> </w:t>
                    </w:r>
                    <w:r>
                      <w:rPr>
                        <w:rFonts w:ascii="Times New Roman" w:hAnsi="Times New Roman"/>
                        <w:color w:val="FFFFFF"/>
                        <w:w w:val="120"/>
                        <w:sz w:val="18"/>
                      </w:rPr>
                      <w:t>в</w:t>
                    </w:r>
                    <w:r>
                      <w:rPr>
                        <w:rFonts w:ascii="Times New Roman" w:hAnsi="Times New Roman"/>
                        <w:color w:val="FFFFFF"/>
                        <w:spacing w:val="61"/>
                        <w:w w:val="120"/>
                        <w:sz w:val="18"/>
                      </w:rPr>
                      <w:t xml:space="preserve"> </w:t>
                    </w:r>
                    <w:r>
                      <w:rPr>
                        <w:rFonts w:ascii="Times New Roman" w:hAnsi="Times New Roman"/>
                        <w:color w:val="FFFFFF"/>
                        <w:spacing w:val="-2"/>
                        <w:w w:val="120"/>
                        <w:sz w:val="18"/>
                      </w:rPr>
                      <w:t>Україні</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B107E"/>
    <w:multiLevelType w:val="hybridMultilevel"/>
    <w:tmpl w:val="B374D7D6"/>
    <w:lvl w:ilvl="0" w:tplc="ECB448A2">
      <w:numFmt w:val="bullet"/>
      <w:lvlText w:val="-"/>
      <w:lvlJc w:val="left"/>
      <w:pPr>
        <w:ind w:left="354" w:hanging="341"/>
      </w:pPr>
      <w:rPr>
        <w:rFonts w:ascii="Cambria" w:eastAsia="Cambria" w:hAnsi="Cambria" w:cs="Cambria" w:hint="default"/>
        <w:b w:val="0"/>
        <w:bCs w:val="0"/>
        <w:i w:val="0"/>
        <w:iCs w:val="0"/>
        <w:spacing w:val="0"/>
        <w:w w:val="100"/>
        <w:sz w:val="22"/>
        <w:szCs w:val="22"/>
        <w:lang w:val="uk-UA" w:eastAsia="en-US" w:bidi="ar-SA"/>
      </w:rPr>
    </w:lvl>
    <w:lvl w:ilvl="1" w:tplc="034CE476">
      <w:numFmt w:val="bullet"/>
      <w:lvlText w:val="•"/>
      <w:lvlJc w:val="left"/>
      <w:pPr>
        <w:ind w:left="884" w:hanging="341"/>
      </w:pPr>
      <w:rPr>
        <w:rFonts w:hint="default"/>
        <w:lang w:val="uk-UA" w:eastAsia="en-US" w:bidi="ar-SA"/>
      </w:rPr>
    </w:lvl>
    <w:lvl w:ilvl="2" w:tplc="1EF05C3E">
      <w:numFmt w:val="bullet"/>
      <w:lvlText w:val="•"/>
      <w:lvlJc w:val="left"/>
      <w:pPr>
        <w:ind w:left="1408" w:hanging="341"/>
      </w:pPr>
      <w:rPr>
        <w:rFonts w:hint="default"/>
        <w:lang w:val="uk-UA" w:eastAsia="en-US" w:bidi="ar-SA"/>
      </w:rPr>
    </w:lvl>
    <w:lvl w:ilvl="3" w:tplc="3F306A16">
      <w:numFmt w:val="bullet"/>
      <w:lvlText w:val="•"/>
      <w:lvlJc w:val="left"/>
      <w:pPr>
        <w:ind w:left="1932" w:hanging="341"/>
      </w:pPr>
      <w:rPr>
        <w:rFonts w:hint="default"/>
        <w:lang w:val="uk-UA" w:eastAsia="en-US" w:bidi="ar-SA"/>
      </w:rPr>
    </w:lvl>
    <w:lvl w:ilvl="4" w:tplc="60E4771A">
      <w:numFmt w:val="bullet"/>
      <w:lvlText w:val="•"/>
      <w:lvlJc w:val="left"/>
      <w:pPr>
        <w:ind w:left="2456" w:hanging="341"/>
      </w:pPr>
      <w:rPr>
        <w:rFonts w:hint="default"/>
        <w:lang w:val="uk-UA" w:eastAsia="en-US" w:bidi="ar-SA"/>
      </w:rPr>
    </w:lvl>
    <w:lvl w:ilvl="5" w:tplc="C1B27E6A">
      <w:numFmt w:val="bullet"/>
      <w:lvlText w:val="•"/>
      <w:lvlJc w:val="left"/>
      <w:pPr>
        <w:ind w:left="2980" w:hanging="341"/>
      </w:pPr>
      <w:rPr>
        <w:rFonts w:hint="default"/>
        <w:lang w:val="uk-UA" w:eastAsia="en-US" w:bidi="ar-SA"/>
      </w:rPr>
    </w:lvl>
    <w:lvl w:ilvl="6" w:tplc="20D26296">
      <w:numFmt w:val="bullet"/>
      <w:lvlText w:val="•"/>
      <w:lvlJc w:val="left"/>
      <w:pPr>
        <w:ind w:left="3504" w:hanging="341"/>
      </w:pPr>
      <w:rPr>
        <w:rFonts w:hint="default"/>
        <w:lang w:val="uk-UA" w:eastAsia="en-US" w:bidi="ar-SA"/>
      </w:rPr>
    </w:lvl>
    <w:lvl w:ilvl="7" w:tplc="A86EF7BC">
      <w:numFmt w:val="bullet"/>
      <w:lvlText w:val="•"/>
      <w:lvlJc w:val="left"/>
      <w:pPr>
        <w:ind w:left="4028" w:hanging="341"/>
      </w:pPr>
      <w:rPr>
        <w:rFonts w:hint="default"/>
        <w:lang w:val="uk-UA" w:eastAsia="en-US" w:bidi="ar-SA"/>
      </w:rPr>
    </w:lvl>
    <w:lvl w:ilvl="8" w:tplc="B0BEEEFE">
      <w:numFmt w:val="bullet"/>
      <w:lvlText w:val="•"/>
      <w:lvlJc w:val="left"/>
      <w:pPr>
        <w:ind w:left="4552" w:hanging="341"/>
      </w:pPr>
      <w:rPr>
        <w:rFonts w:hint="default"/>
        <w:lang w:val="uk-UA" w:eastAsia="en-US" w:bidi="ar-SA"/>
      </w:rPr>
    </w:lvl>
  </w:abstractNum>
  <w:abstractNum w:abstractNumId="1" w15:restartNumberingAfterBreak="0">
    <w:nsid w:val="02E36AFD"/>
    <w:multiLevelType w:val="hybridMultilevel"/>
    <w:tmpl w:val="AA82E7A0"/>
    <w:lvl w:ilvl="0" w:tplc="933A9AA8">
      <w:numFmt w:val="bullet"/>
      <w:lvlText w:val="-"/>
      <w:lvlJc w:val="left"/>
      <w:pPr>
        <w:ind w:left="595" w:hanging="341"/>
      </w:pPr>
      <w:rPr>
        <w:rFonts w:ascii="Cambria" w:eastAsia="Cambria" w:hAnsi="Cambria" w:cs="Cambria" w:hint="default"/>
        <w:b w:val="0"/>
        <w:bCs w:val="0"/>
        <w:i w:val="0"/>
        <w:iCs w:val="0"/>
        <w:spacing w:val="0"/>
        <w:w w:val="100"/>
        <w:sz w:val="20"/>
        <w:szCs w:val="20"/>
        <w:lang w:val="uk-UA" w:eastAsia="en-US" w:bidi="ar-SA"/>
      </w:rPr>
    </w:lvl>
    <w:lvl w:ilvl="1" w:tplc="DC4AAF12">
      <w:numFmt w:val="bullet"/>
      <w:lvlText w:val="–"/>
      <w:lvlJc w:val="left"/>
      <w:pPr>
        <w:ind w:left="595" w:hanging="341"/>
      </w:pPr>
      <w:rPr>
        <w:rFonts w:ascii="Cambria" w:eastAsia="Cambria" w:hAnsi="Cambria" w:cs="Cambria" w:hint="default"/>
        <w:b w:val="0"/>
        <w:bCs w:val="0"/>
        <w:i w:val="0"/>
        <w:iCs w:val="0"/>
        <w:spacing w:val="0"/>
        <w:w w:val="111"/>
        <w:sz w:val="22"/>
        <w:szCs w:val="22"/>
        <w:lang w:val="uk-UA" w:eastAsia="en-US" w:bidi="ar-SA"/>
      </w:rPr>
    </w:lvl>
    <w:lvl w:ilvl="2" w:tplc="E0E09426">
      <w:numFmt w:val="bullet"/>
      <w:lvlText w:val="•"/>
      <w:lvlJc w:val="left"/>
      <w:pPr>
        <w:ind w:left="1449" w:hanging="341"/>
      </w:pPr>
      <w:rPr>
        <w:rFonts w:hint="default"/>
        <w:lang w:val="uk-UA" w:eastAsia="en-US" w:bidi="ar-SA"/>
      </w:rPr>
    </w:lvl>
    <w:lvl w:ilvl="3" w:tplc="E334E35C">
      <w:numFmt w:val="bullet"/>
      <w:lvlText w:val="•"/>
      <w:lvlJc w:val="left"/>
      <w:pPr>
        <w:ind w:left="1874" w:hanging="341"/>
      </w:pPr>
      <w:rPr>
        <w:rFonts w:hint="default"/>
        <w:lang w:val="uk-UA" w:eastAsia="en-US" w:bidi="ar-SA"/>
      </w:rPr>
    </w:lvl>
    <w:lvl w:ilvl="4" w:tplc="CB1C98F6">
      <w:numFmt w:val="bullet"/>
      <w:lvlText w:val="•"/>
      <w:lvlJc w:val="left"/>
      <w:pPr>
        <w:ind w:left="2299" w:hanging="341"/>
      </w:pPr>
      <w:rPr>
        <w:rFonts w:hint="default"/>
        <w:lang w:val="uk-UA" w:eastAsia="en-US" w:bidi="ar-SA"/>
      </w:rPr>
    </w:lvl>
    <w:lvl w:ilvl="5" w:tplc="81809EB2">
      <w:numFmt w:val="bullet"/>
      <w:lvlText w:val="•"/>
      <w:lvlJc w:val="left"/>
      <w:pPr>
        <w:ind w:left="2723" w:hanging="341"/>
      </w:pPr>
      <w:rPr>
        <w:rFonts w:hint="default"/>
        <w:lang w:val="uk-UA" w:eastAsia="en-US" w:bidi="ar-SA"/>
      </w:rPr>
    </w:lvl>
    <w:lvl w:ilvl="6" w:tplc="7B6668BC">
      <w:numFmt w:val="bullet"/>
      <w:lvlText w:val="•"/>
      <w:lvlJc w:val="left"/>
      <w:pPr>
        <w:ind w:left="3148" w:hanging="341"/>
      </w:pPr>
      <w:rPr>
        <w:rFonts w:hint="default"/>
        <w:lang w:val="uk-UA" w:eastAsia="en-US" w:bidi="ar-SA"/>
      </w:rPr>
    </w:lvl>
    <w:lvl w:ilvl="7" w:tplc="76AE917A">
      <w:numFmt w:val="bullet"/>
      <w:lvlText w:val="•"/>
      <w:lvlJc w:val="left"/>
      <w:pPr>
        <w:ind w:left="3573" w:hanging="341"/>
      </w:pPr>
      <w:rPr>
        <w:rFonts w:hint="default"/>
        <w:lang w:val="uk-UA" w:eastAsia="en-US" w:bidi="ar-SA"/>
      </w:rPr>
    </w:lvl>
    <w:lvl w:ilvl="8" w:tplc="89E20DF2">
      <w:numFmt w:val="bullet"/>
      <w:lvlText w:val="•"/>
      <w:lvlJc w:val="left"/>
      <w:pPr>
        <w:ind w:left="3998" w:hanging="341"/>
      </w:pPr>
      <w:rPr>
        <w:rFonts w:hint="default"/>
        <w:lang w:val="uk-UA" w:eastAsia="en-US" w:bidi="ar-SA"/>
      </w:rPr>
    </w:lvl>
  </w:abstractNum>
  <w:abstractNum w:abstractNumId="2" w15:restartNumberingAfterBreak="0">
    <w:nsid w:val="051B0D86"/>
    <w:multiLevelType w:val="hybridMultilevel"/>
    <w:tmpl w:val="1FB25D6C"/>
    <w:lvl w:ilvl="0" w:tplc="DC6CB9CA">
      <w:numFmt w:val="bullet"/>
      <w:lvlText w:val="-"/>
      <w:lvlJc w:val="left"/>
      <w:pPr>
        <w:ind w:left="595" w:hanging="341"/>
      </w:pPr>
      <w:rPr>
        <w:rFonts w:ascii="Cambria" w:eastAsia="Cambria" w:hAnsi="Cambria" w:cs="Cambria" w:hint="default"/>
        <w:b w:val="0"/>
        <w:bCs w:val="0"/>
        <w:i w:val="0"/>
        <w:iCs w:val="0"/>
        <w:spacing w:val="0"/>
        <w:w w:val="100"/>
        <w:sz w:val="22"/>
        <w:szCs w:val="22"/>
        <w:lang w:val="uk-UA" w:eastAsia="en-US" w:bidi="ar-SA"/>
      </w:rPr>
    </w:lvl>
    <w:lvl w:ilvl="1" w:tplc="DC6CB9CA">
      <w:numFmt w:val="bullet"/>
      <w:lvlText w:val="-"/>
      <w:lvlJc w:val="left"/>
      <w:pPr>
        <w:ind w:left="992" w:hanging="341"/>
      </w:pPr>
      <w:rPr>
        <w:rFonts w:ascii="Cambria" w:eastAsia="Cambria" w:hAnsi="Cambria" w:cs="Cambria" w:hint="default"/>
        <w:b w:val="0"/>
        <w:bCs w:val="0"/>
        <w:i w:val="0"/>
        <w:iCs w:val="0"/>
        <w:spacing w:val="0"/>
        <w:w w:val="100"/>
        <w:sz w:val="22"/>
        <w:szCs w:val="22"/>
        <w:lang w:val="uk-UA" w:eastAsia="en-US" w:bidi="ar-SA"/>
      </w:rPr>
    </w:lvl>
    <w:lvl w:ilvl="2" w:tplc="41026788">
      <w:numFmt w:val="bullet"/>
      <w:lvlText w:val="•"/>
      <w:lvlJc w:val="left"/>
      <w:pPr>
        <w:ind w:left="1427" w:hanging="341"/>
      </w:pPr>
      <w:rPr>
        <w:rFonts w:hint="default"/>
        <w:lang w:val="uk-UA" w:eastAsia="en-US" w:bidi="ar-SA"/>
      </w:rPr>
    </w:lvl>
    <w:lvl w:ilvl="3" w:tplc="28E65758">
      <w:numFmt w:val="bullet"/>
      <w:lvlText w:val="•"/>
      <w:lvlJc w:val="left"/>
      <w:pPr>
        <w:ind w:left="1855" w:hanging="341"/>
      </w:pPr>
      <w:rPr>
        <w:rFonts w:hint="default"/>
        <w:lang w:val="uk-UA" w:eastAsia="en-US" w:bidi="ar-SA"/>
      </w:rPr>
    </w:lvl>
    <w:lvl w:ilvl="4" w:tplc="65E09D2C">
      <w:numFmt w:val="bullet"/>
      <w:lvlText w:val="•"/>
      <w:lvlJc w:val="left"/>
      <w:pPr>
        <w:ind w:left="2282" w:hanging="341"/>
      </w:pPr>
      <w:rPr>
        <w:rFonts w:hint="default"/>
        <w:lang w:val="uk-UA" w:eastAsia="en-US" w:bidi="ar-SA"/>
      </w:rPr>
    </w:lvl>
    <w:lvl w:ilvl="5" w:tplc="25520260">
      <w:numFmt w:val="bullet"/>
      <w:lvlText w:val="•"/>
      <w:lvlJc w:val="left"/>
      <w:pPr>
        <w:ind w:left="2710" w:hanging="341"/>
      </w:pPr>
      <w:rPr>
        <w:rFonts w:hint="default"/>
        <w:lang w:val="uk-UA" w:eastAsia="en-US" w:bidi="ar-SA"/>
      </w:rPr>
    </w:lvl>
    <w:lvl w:ilvl="6" w:tplc="81308B2C">
      <w:numFmt w:val="bullet"/>
      <w:lvlText w:val="•"/>
      <w:lvlJc w:val="left"/>
      <w:pPr>
        <w:ind w:left="3138" w:hanging="341"/>
      </w:pPr>
      <w:rPr>
        <w:rFonts w:hint="default"/>
        <w:lang w:val="uk-UA" w:eastAsia="en-US" w:bidi="ar-SA"/>
      </w:rPr>
    </w:lvl>
    <w:lvl w:ilvl="7" w:tplc="9AB0D99A">
      <w:numFmt w:val="bullet"/>
      <w:lvlText w:val="•"/>
      <w:lvlJc w:val="left"/>
      <w:pPr>
        <w:ind w:left="3565" w:hanging="341"/>
      </w:pPr>
      <w:rPr>
        <w:rFonts w:hint="default"/>
        <w:lang w:val="uk-UA" w:eastAsia="en-US" w:bidi="ar-SA"/>
      </w:rPr>
    </w:lvl>
    <w:lvl w:ilvl="8" w:tplc="85F6AA04">
      <w:numFmt w:val="bullet"/>
      <w:lvlText w:val="•"/>
      <w:lvlJc w:val="left"/>
      <w:pPr>
        <w:ind w:left="3993" w:hanging="341"/>
      </w:pPr>
      <w:rPr>
        <w:rFonts w:hint="default"/>
        <w:lang w:val="uk-UA" w:eastAsia="en-US" w:bidi="ar-SA"/>
      </w:rPr>
    </w:lvl>
  </w:abstractNum>
  <w:abstractNum w:abstractNumId="3" w15:restartNumberingAfterBreak="0">
    <w:nsid w:val="06466207"/>
    <w:multiLevelType w:val="hybridMultilevel"/>
    <w:tmpl w:val="8286D014"/>
    <w:lvl w:ilvl="0" w:tplc="DC6CB9CA">
      <w:numFmt w:val="bullet"/>
      <w:lvlText w:val="-"/>
      <w:lvlJc w:val="left"/>
      <w:pPr>
        <w:ind w:left="595" w:hanging="341"/>
      </w:pPr>
      <w:rPr>
        <w:rFonts w:ascii="Cambria" w:eastAsia="Cambria" w:hAnsi="Cambria" w:cs="Cambria" w:hint="default"/>
        <w:b w:val="0"/>
        <w:bCs w:val="0"/>
        <w:i w:val="0"/>
        <w:iCs w:val="0"/>
        <w:spacing w:val="0"/>
        <w:w w:val="100"/>
        <w:sz w:val="22"/>
        <w:szCs w:val="22"/>
        <w:lang w:val="uk-UA" w:eastAsia="en-US" w:bidi="ar-SA"/>
      </w:rPr>
    </w:lvl>
    <w:lvl w:ilvl="1" w:tplc="9FBC6B68">
      <w:numFmt w:val="bullet"/>
      <w:lvlText w:val="•"/>
      <w:lvlJc w:val="left"/>
      <w:pPr>
        <w:ind w:left="1024" w:hanging="341"/>
      </w:pPr>
      <w:rPr>
        <w:rFonts w:hint="default"/>
        <w:lang w:val="uk-UA" w:eastAsia="en-US" w:bidi="ar-SA"/>
      </w:rPr>
    </w:lvl>
    <w:lvl w:ilvl="2" w:tplc="D3A85136">
      <w:numFmt w:val="bullet"/>
      <w:lvlText w:val="•"/>
      <w:lvlJc w:val="left"/>
      <w:pPr>
        <w:ind w:left="1449" w:hanging="341"/>
      </w:pPr>
      <w:rPr>
        <w:rFonts w:hint="default"/>
        <w:lang w:val="uk-UA" w:eastAsia="en-US" w:bidi="ar-SA"/>
      </w:rPr>
    </w:lvl>
    <w:lvl w:ilvl="3" w:tplc="0AD6032C">
      <w:numFmt w:val="bullet"/>
      <w:lvlText w:val="•"/>
      <w:lvlJc w:val="left"/>
      <w:pPr>
        <w:ind w:left="1874" w:hanging="341"/>
      </w:pPr>
      <w:rPr>
        <w:rFonts w:hint="default"/>
        <w:lang w:val="uk-UA" w:eastAsia="en-US" w:bidi="ar-SA"/>
      </w:rPr>
    </w:lvl>
    <w:lvl w:ilvl="4" w:tplc="1BA29F1A">
      <w:numFmt w:val="bullet"/>
      <w:lvlText w:val="•"/>
      <w:lvlJc w:val="left"/>
      <w:pPr>
        <w:ind w:left="2299" w:hanging="341"/>
      </w:pPr>
      <w:rPr>
        <w:rFonts w:hint="default"/>
        <w:lang w:val="uk-UA" w:eastAsia="en-US" w:bidi="ar-SA"/>
      </w:rPr>
    </w:lvl>
    <w:lvl w:ilvl="5" w:tplc="4594AA52">
      <w:numFmt w:val="bullet"/>
      <w:lvlText w:val="•"/>
      <w:lvlJc w:val="left"/>
      <w:pPr>
        <w:ind w:left="2723" w:hanging="341"/>
      </w:pPr>
      <w:rPr>
        <w:rFonts w:hint="default"/>
        <w:lang w:val="uk-UA" w:eastAsia="en-US" w:bidi="ar-SA"/>
      </w:rPr>
    </w:lvl>
    <w:lvl w:ilvl="6" w:tplc="B88C5A2C">
      <w:numFmt w:val="bullet"/>
      <w:lvlText w:val="•"/>
      <w:lvlJc w:val="left"/>
      <w:pPr>
        <w:ind w:left="3148" w:hanging="341"/>
      </w:pPr>
      <w:rPr>
        <w:rFonts w:hint="default"/>
        <w:lang w:val="uk-UA" w:eastAsia="en-US" w:bidi="ar-SA"/>
      </w:rPr>
    </w:lvl>
    <w:lvl w:ilvl="7" w:tplc="C2C0EA36">
      <w:numFmt w:val="bullet"/>
      <w:lvlText w:val="•"/>
      <w:lvlJc w:val="left"/>
      <w:pPr>
        <w:ind w:left="3573" w:hanging="341"/>
      </w:pPr>
      <w:rPr>
        <w:rFonts w:hint="default"/>
        <w:lang w:val="uk-UA" w:eastAsia="en-US" w:bidi="ar-SA"/>
      </w:rPr>
    </w:lvl>
    <w:lvl w:ilvl="8" w:tplc="B588B658">
      <w:numFmt w:val="bullet"/>
      <w:lvlText w:val="•"/>
      <w:lvlJc w:val="left"/>
      <w:pPr>
        <w:ind w:left="3998" w:hanging="341"/>
      </w:pPr>
      <w:rPr>
        <w:rFonts w:hint="default"/>
        <w:lang w:val="uk-UA" w:eastAsia="en-US" w:bidi="ar-SA"/>
      </w:rPr>
    </w:lvl>
  </w:abstractNum>
  <w:abstractNum w:abstractNumId="4" w15:restartNumberingAfterBreak="0">
    <w:nsid w:val="092032A8"/>
    <w:multiLevelType w:val="hybridMultilevel"/>
    <w:tmpl w:val="D8F85ACA"/>
    <w:lvl w:ilvl="0" w:tplc="DC6CB9CA">
      <w:numFmt w:val="bullet"/>
      <w:lvlText w:val="-"/>
      <w:lvlJc w:val="left"/>
      <w:pPr>
        <w:ind w:left="355" w:hanging="341"/>
      </w:pPr>
      <w:rPr>
        <w:rFonts w:ascii="Cambria" w:eastAsia="Cambria" w:hAnsi="Cambria" w:cs="Cambria" w:hint="default"/>
        <w:b w:val="0"/>
        <w:bCs w:val="0"/>
        <w:i w:val="0"/>
        <w:iCs w:val="0"/>
        <w:spacing w:val="0"/>
        <w:w w:val="100"/>
        <w:sz w:val="22"/>
        <w:szCs w:val="22"/>
        <w:lang w:val="uk-UA" w:eastAsia="en-US" w:bidi="ar-SA"/>
      </w:rPr>
    </w:lvl>
    <w:lvl w:ilvl="1" w:tplc="DC6CB9CA">
      <w:numFmt w:val="bullet"/>
      <w:lvlText w:val="-"/>
      <w:lvlJc w:val="left"/>
      <w:pPr>
        <w:ind w:left="992" w:hanging="341"/>
      </w:pPr>
      <w:rPr>
        <w:rFonts w:ascii="Cambria" w:eastAsia="Cambria" w:hAnsi="Cambria" w:cs="Cambria" w:hint="default"/>
        <w:b w:val="0"/>
        <w:bCs w:val="0"/>
        <w:i w:val="0"/>
        <w:iCs w:val="0"/>
        <w:spacing w:val="0"/>
        <w:w w:val="100"/>
        <w:sz w:val="22"/>
        <w:szCs w:val="22"/>
        <w:lang w:val="uk-UA" w:eastAsia="en-US" w:bidi="ar-SA"/>
      </w:rPr>
    </w:lvl>
    <w:lvl w:ilvl="2" w:tplc="EC32FB34">
      <w:numFmt w:val="bullet"/>
      <w:lvlText w:val="•"/>
      <w:lvlJc w:val="left"/>
      <w:pPr>
        <w:ind w:left="1000" w:hanging="341"/>
      </w:pPr>
      <w:rPr>
        <w:rFonts w:hint="default"/>
        <w:lang w:val="uk-UA" w:eastAsia="en-US" w:bidi="ar-SA"/>
      </w:rPr>
    </w:lvl>
    <w:lvl w:ilvl="3" w:tplc="81AACA42">
      <w:numFmt w:val="bullet"/>
      <w:lvlText w:val="•"/>
      <w:lvlJc w:val="left"/>
      <w:pPr>
        <w:ind w:left="870" w:hanging="341"/>
      </w:pPr>
      <w:rPr>
        <w:rFonts w:hint="default"/>
        <w:lang w:val="uk-UA" w:eastAsia="en-US" w:bidi="ar-SA"/>
      </w:rPr>
    </w:lvl>
    <w:lvl w:ilvl="4" w:tplc="FCB684A4">
      <w:numFmt w:val="bullet"/>
      <w:lvlText w:val="•"/>
      <w:lvlJc w:val="left"/>
      <w:pPr>
        <w:ind w:left="740" w:hanging="341"/>
      </w:pPr>
      <w:rPr>
        <w:rFonts w:hint="default"/>
        <w:lang w:val="uk-UA" w:eastAsia="en-US" w:bidi="ar-SA"/>
      </w:rPr>
    </w:lvl>
    <w:lvl w:ilvl="5" w:tplc="2B14E3C4">
      <w:numFmt w:val="bullet"/>
      <w:lvlText w:val="•"/>
      <w:lvlJc w:val="left"/>
      <w:pPr>
        <w:ind w:left="610" w:hanging="341"/>
      </w:pPr>
      <w:rPr>
        <w:rFonts w:hint="default"/>
        <w:lang w:val="uk-UA" w:eastAsia="en-US" w:bidi="ar-SA"/>
      </w:rPr>
    </w:lvl>
    <w:lvl w:ilvl="6" w:tplc="51A8F5CA">
      <w:numFmt w:val="bullet"/>
      <w:lvlText w:val="•"/>
      <w:lvlJc w:val="left"/>
      <w:pPr>
        <w:ind w:left="480" w:hanging="341"/>
      </w:pPr>
      <w:rPr>
        <w:rFonts w:hint="default"/>
        <w:lang w:val="uk-UA" w:eastAsia="en-US" w:bidi="ar-SA"/>
      </w:rPr>
    </w:lvl>
    <w:lvl w:ilvl="7" w:tplc="F7A647E8">
      <w:numFmt w:val="bullet"/>
      <w:lvlText w:val="•"/>
      <w:lvlJc w:val="left"/>
      <w:pPr>
        <w:ind w:left="350" w:hanging="341"/>
      </w:pPr>
      <w:rPr>
        <w:rFonts w:hint="default"/>
        <w:lang w:val="uk-UA" w:eastAsia="en-US" w:bidi="ar-SA"/>
      </w:rPr>
    </w:lvl>
    <w:lvl w:ilvl="8" w:tplc="25C6A368">
      <w:numFmt w:val="bullet"/>
      <w:lvlText w:val="•"/>
      <w:lvlJc w:val="left"/>
      <w:pPr>
        <w:ind w:left="220" w:hanging="341"/>
      </w:pPr>
      <w:rPr>
        <w:rFonts w:hint="default"/>
        <w:lang w:val="uk-UA" w:eastAsia="en-US" w:bidi="ar-SA"/>
      </w:rPr>
    </w:lvl>
  </w:abstractNum>
  <w:abstractNum w:abstractNumId="5" w15:restartNumberingAfterBreak="0">
    <w:nsid w:val="0B0033C6"/>
    <w:multiLevelType w:val="hybridMultilevel"/>
    <w:tmpl w:val="E9643C74"/>
    <w:lvl w:ilvl="0" w:tplc="7778C982">
      <w:numFmt w:val="bullet"/>
      <w:lvlText w:val="-"/>
      <w:lvlJc w:val="left"/>
      <w:pPr>
        <w:ind w:left="992" w:hanging="341"/>
      </w:pPr>
      <w:rPr>
        <w:rFonts w:ascii="Cambria" w:eastAsia="Cambria" w:hAnsi="Cambria" w:cs="Cambria" w:hint="default"/>
        <w:b w:val="0"/>
        <w:bCs w:val="0"/>
        <w:i w:val="0"/>
        <w:iCs w:val="0"/>
        <w:spacing w:val="0"/>
        <w:w w:val="100"/>
        <w:sz w:val="22"/>
        <w:szCs w:val="22"/>
        <w:lang w:val="uk-UA" w:eastAsia="en-US" w:bidi="ar-SA"/>
      </w:rPr>
    </w:lvl>
    <w:lvl w:ilvl="1" w:tplc="F7901AB2">
      <w:numFmt w:val="bullet"/>
      <w:lvlText w:val="•"/>
      <w:lvlJc w:val="left"/>
      <w:pPr>
        <w:ind w:left="1424" w:hanging="341"/>
      </w:pPr>
      <w:rPr>
        <w:rFonts w:hint="default"/>
        <w:lang w:val="uk-UA" w:eastAsia="en-US" w:bidi="ar-SA"/>
      </w:rPr>
    </w:lvl>
    <w:lvl w:ilvl="2" w:tplc="9D2ADA30">
      <w:numFmt w:val="bullet"/>
      <w:lvlText w:val="•"/>
      <w:lvlJc w:val="left"/>
      <w:pPr>
        <w:ind w:left="1849" w:hanging="341"/>
      </w:pPr>
      <w:rPr>
        <w:rFonts w:hint="default"/>
        <w:lang w:val="uk-UA" w:eastAsia="en-US" w:bidi="ar-SA"/>
      </w:rPr>
    </w:lvl>
    <w:lvl w:ilvl="3" w:tplc="0E06771E">
      <w:numFmt w:val="bullet"/>
      <w:lvlText w:val="•"/>
      <w:lvlJc w:val="left"/>
      <w:pPr>
        <w:ind w:left="2273" w:hanging="341"/>
      </w:pPr>
      <w:rPr>
        <w:rFonts w:hint="default"/>
        <w:lang w:val="uk-UA" w:eastAsia="en-US" w:bidi="ar-SA"/>
      </w:rPr>
    </w:lvl>
    <w:lvl w:ilvl="4" w:tplc="2794AB14">
      <w:numFmt w:val="bullet"/>
      <w:lvlText w:val="•"/>
      <w:lvlJc w:val="left"/>
      <w:pPr>
        <w:ind w:left="2698" w:hanging="341"/>
      </w:pPr>
      <w:rPr>
        <w:rFonts w:hint="default"/>
        <w:lang w:val="uk-UA" w:eastAsia="en-US" w:bidi="ar-SA"/>
      </w:rPr>
    </w:lvl>
    <w:lvl w:ilvl="5" w:tplc="D0D410E6">
      <w:numFmt w:val="bullet"/>
      <w:lvlText w:val="•"/>
      <w:lvlJc w:val="left"/>
      <w:pPr>
        <w:ind w:left="3122" w:hanging="341"/>
      </w:pPr>
      <w:rPr>
        <w:rFonts w:hint="default"/>
        <w:lang w:val="uk-UA" w:eastAsia="en-US" w:bidi="ar-SA"/>
      </w:rPr>
    </w:lvl>
    <w:lvl w:ilvl="6" w:tplc="C276C828">
      <w:numFmt w:val="bullet"/>
      <w:lvlText w:val="•"/>
      <w:lvlJc w:val="left"/>
      <w:pPr>
        <w:ind w:left="3547" w:hanging="341"/>
      </w:pPr>
      <w:rPr>
        <w:rFonts w:hint="default"/>
        <w:lang w:val="uk-UA" w:eastAsia="en-US" w:bidi="ar-SA"/>
      </w:rPr>
    </w:lvl>
    <w:lvl w:ilvl="7" w:tplc="3EE41514">
      <w:numFmt w:val="bullet"/>
      <w:lvlText w:val="•"/>
      <w:lvlJc w:val="left"/>
      <w:pPr>
        <w:ind w:left="3971" w:hanging="341"/>
      </w:pPr>
      <w:rPr>
        <w:rFonts w:hint="default"/>
        <w:lang w:val="uk-UA" w:eastAsia="en-US" w:bidi="ar-SA"/>
      </w:rPr>
    </w:lvl>
    <w:lvl w:ilvl="8" w:tplc="F1B8B926">
      <w:numFmt w:val="bullet"/>
      <w:lvlText w:val="•"/>
      <w:lvlJc w:val="left"/>
      <w:pPr>
        <w:ind w:left="4396" w:hanging="341"/>
      </w:pPr>
      <w:rPr>
        <w:rFonts w:hint="default"/>
        <w:lang w:val="uk-UA" w:eastAsia="en-US" w:bidi="ar-SA"/>
      </w:rPr>
    </w:lvl>
  </w:abstractNum>
  <w:abstractNum w:abstractNumId="6" w15:restartNumberingAfterBreak="0">
    <w:nsid w:val="0F6F3E8F"/>
    <w:multiLevelType w:val="hybridMultilevel"/>
    <w:tmpl w:val="B9B28E40"/>
    <w:lvl w:ilvl="0" w:tplc="3536E95C">
      <w:numFmt w:val="bullet"/>
      <w:lvlText w:val="•"/>
      <w:lvlJc w:val="left"/>
      <w:pPr>
        <w:ind w:left="353" w:hanging="165"/>
      </w:pPr>
      <w:rPr>
        <w:rFonts w:ascii="Cambria" w:eastAsia="Cambria" w:hAnsi="Cambria" w:cs="Cambria" w:hint="default"/>
        <w:b w:val="0"/>
        <w:bCs w:val="0"/>
        <w:i w:val="0"/>
        <w:iCs w:val="0"/>
        <w:spacing w:val="0"/>
        <w:w w:val="136"/>
        <w:sz w:val="16"/>
        <w:szCs w:val="16"/>
        <w:lang w:val="uk-UA" w:eastAsia="en-US" w:bidi="ar-SA"/>
      </w:rPr>
    </w:lvl>
    <w:lvl w:ilvl="1" w:tplc="C108C42E">
      <w:numFmt w:val="bullet"/>
      <w:lvlText w:val="•"/>
      <w:lvlJc w:val="left"/>
      <w:pPr>
        <w:ind w:left="992" w:hanging="255"/>
      </w:pPr>
      <w:rPr>
        <w:rFonts w:ascii="Cambria" w:eastAsia="Cambria" w:hAnsi="Cambria" w:cs="Cambria" w:hint="default"/>
        <w:b w:val="0"/>
        <w:bCs w:val="0"/>
        <w:i w:val="0"/>
        <w:iCs w:val="0"/>
        <w:spacing w:val="0"/>
        <w:w w:val="136"/>
        <w:sz w:val="16"/>
        <w:szCs w:val="16"/>
        <w:lang w:val="uk-UA" w:eastAsia="en-US" w:bidi="ar-SA"/>
      </w:rPr>
    </w:lvl>
    <w:lvl w:ilvl="2" w:tplc="9A6A4BEA">
      <w:numFmt w:val="bullet"/>
      <w:lvlText w:val="•"/>
      <w:lvlJc w:val="left"/>
      <w:pPr>
        <w:ind w:left="928" w:hanging="255"/>
      </w:pPr>
      <w:rPr>
        <w:rFonts w:hint="default"/>
        <w:lang w:val="uk-UA" w:eastAsia="en-US" w:bidi="ar-SA"/>
      </w:rPr>
    </w:lvl>
    <w:lvl w:ilvl="3" w:tplc="B10CA02A">
      <w:numFmt w:val="bullet"/>
      <w:lvlText w:val="•"/>
      <w:lvlJc w:val="left"/>
      <w:pPr>
        <w:ind w:left="856" w:hanging="255"/>
      </w:pPr>
      <w:rPr>
        <w:rFonts w:hint="default"/>
        <w:lang w:val="uk-UA" w:eastAsia="en-US" w:bidi="ar-SA"/>
      </w:rPr>
    </w:lvl>
    <w:lvl w:ilvl="4" w:tplc="0916ED48">
      <w:numFmt w:val="bullet"/>
      <w:lvlText w:val="•"/>
      <w:lvlJc w:val="left"/>
      <w:pPr>
        <w:ind w:left="785" w:hanging="255"/>
      </w:pPr>
      <w:rPr>
        <w:rFonts w:hint="default"/>
        <w:lang w:val="uk-UA" w:eastAsia="en-US" w:bidi="ar-SA"/>
      </w:rPr>
    </w:lvl>
    <w:lvl w:ilvl="5" w:tplc="6CCC2FD2">
      <w:numFmt w:val="bullet"/>
      <w:lvlText w:val="•"/>
      <w:lvlJc w:val="left"/>
      <w:pPr>
        <w:ind w:left="713" w:hanging="255"/>
      </w:pPr>
      <w:rPr>
        <w:rFonts w:hint="default"/>
        <w:lang w:val="uk-UA" w:eastAsia="en-US" w:bidi="ar-SA"/>
      </w:rPr>
    </w:lvl>
    <w:lvl w:ilvl="6" w:tplc="F646A49E">
      <w:numFmt w:val="bullet"/>
      <w:lvlText w:val="•"/>
      <w:lvlJc w:val="left"/>
      <w:pPr>
        <w:ind w:left="642" w:hanging="255"/>
      </w:pPr>
      <w:rPr>
        <w:rFonts w:hint="default"/>
        <w:lang w:val="uk-UA" w:eastAsia="en-US" w:bidi="ar-SA"/>
      </w:rPr>
    </w:lvl>
    <w:lvl w:ilvl="7" w:tplc="AAA61D5A">
      <w:numFmt w:val="bullet"/>
      <w:lvlText w:val="•"/>
      <w:lvlJc w:val="left"/>
      <w:pPr>
        <w:ind w:left="570" w:hanging="255"/>
      </w:pPr>
      <w:rPr>
        <w:rFonts w:hint="default"/>
        <w:lang w:val="uk-UA" w:eastAsia="en-US" w:bidi="ar-SA"/>
      </w:rPr>
    </w:lvl>
    <w:lvl w:ilvl="8" w:tplc="4CB6742C">
      <w:numFmt w:val="bullet"/>
      <w:lvlText w:val="•"/>
      <w:lvlJc w:val="left"/>
      <w:pPr>
        <w:ind w:left="498" w:hanging="255"/>
      </w:pPr>
      <w:rPr>
        <w:rFonts w:hint="default"/>
        <w:lang w:val="uk-UA" w:eastAsia="en-US" w:bidi="ar-SA"/>
      </w:rPr>
    </w:lvl>
  </w:abstractNum>
  <w:abstractNum w:abstractNumId="7" w15:restartNumberingAfterBreak="0">
    <w:nsid w:val="0FFF56F0"/>
    <w:multiLevelType w:val="hybridMultilevel"/>
    <w:tmpl w:val="A156F80C"/>
    <w:lvl w:ilvl="0" w:tplc="DC6CB9CA">
      <w:numFmt w:val="bullet"/>
      <w:lvlText w:val="-"/>
      <w:lvlJc w:val="left"/>
      <w:pPr>
        <w:ind w:left="992" w:hanging="341"/>
      </w:pPr>
      <w:rPr>
        <w:rFonts w:ascii="Cambria" w:eastAsia="Cambria" w:hAnsi="Cambria" w:cs="Cambria" w:hint="default"/>
        <w:b w:val="0"/>
        <w:bCs w:val="0"/>
        <w:i w:val="0"/>
        <w:iCs w:val="0"/>
        <w:spacing w:val="0"/>
        <w:w w:val="100"/>
        <w:sz w:val="22"/>
        <w:szCs w:val="22"/>
        <w:lang w:val="uk-UA" w:eastAsia="en-US" w:bidi="ar-SA"/>
      </w:rPr>
    </w:lvl>
    <w:lvl w:ilvl="1" w:tplc="16DC72F4">
      <w:numFmt w:val="bullet"/>
      <w:lvlText w:val="•"/>
      <w:lvlJc w:val="left"/>
      <w:pPr>
        <w:ind w:left="1424" w:hanging="341"/>
      </w:pPr>
      <w:rPr>
        <w:rFonts w:hint="default"/>
        <w:lang w:val="uk-UA" w:eastAsia="en-US" w:bidi="ar-SA"/>
      </w:rPr>
    </w:lvl>
    <w:lvl w:ilvl="2" w:tplc="54DA8AD0">
      <w:numFmt w:val="bullet"/>
      <w:lvlText w:val="•"/>
      <w:lvlJc w:val="left"/>
      <w:pPr>
        <w:ind w:left="1849" w:hanging="341"/>
      </w:pPr>
      <w:rPr>
        <w:rFonts w:hint="default"/>
        <w:lang w:val="uk-UA" w:eastAsia="en-US" w:bidi="ar-SA"/>
      </w:rPr>
    </w:lvl>
    <w:lvl w:ilvl="3" w:tplc="C45E00F6">
      <w:numFmt w:val="bullet"/>
      <w:lvlText w:val="•"/>
      <w:lvlJc w:val="left"/>
      <w:pPr>
        <w:ind w:left="2273" w:hanging="341"/>
      </w:pPr>
      <w:rPr>
        <w:rFonts w:hint="default"/>
        <w:lang w:val="uk-UA" w:eastAsia="en-US" w:bidi="ar-SA"/>
      </w:rPr>
    </w:lvl>
    <w:lvl w:ilvl="4" w:tplc="32182AC4">
      <w:numFmt w:val="bullet"/>
      <w:lvlText w:val="•"/>
      <w:lvlJc w:val="left"/>
      <w:pPr>
        <w:ind w:left="2698" w:hanging="341"/>
      </w:pPr>
      <w:rPr>
        <w:rFonts w:hint="default"/>
        <w:lang w:val="uk-UA" w:eastAsia="en-US" w:bidi="ar-SA"/>
      </w:rPr>
    </w:lvl>
    <w:lvl w:ilvl="5" w:tplc="0DFA83D4">
      <w:numFmt w:val="bullet"/>
      <w:lvlText w:val="•"/>
      <w:lvlJc w:val="left"/>
      <w:pPr>
        <w:ind w:left="3123" w:hanging="341"/>
      </w:pPr>
      <w:rPr>
        <w:rFonts w:hint="default"/>
        <w:lang w:val="uk-UA" w:eastAsia="en-US" w:bidi="ar-SA"/>
      </w:rPr>
    </w:lvl>
    <w:lvl w:ilvl="6" w:tplc="C11612D4">
      <w:numFmt w:val="bullet"/>
      <w:lvlText w:val="•"/>
      <w:lvlJc w:val="left"/>
      <w:pPr>
        <w:ind w:left="3547" w:hanging="341"/>
      </w:pPr>
      <w:rPr>
        <w:rFonts w:hint="default"/>
        <w:lang w:val="uk-UA" w:eastAsia="en-US" w:bidi="ar-SA"/>
      </w:rPr>
    </w:lvl>
    <w:lvl w:ilvl="7" w:tplc="BFA241E8">
      <w:numFmt w:val="bullet"/>
      <w:lvlText w:val="•"/>
      <w:lvlJc w:val="left"/>
      <w:pPr>
        <w:ind w:left="3972" w:hanging="341"/>
      </w:pPr>
      <w:rPr>
        <w:rFonts w:hint="default"/>
        <w:lang w:val="uk-UA" w:eastAsia="en-US" w:bidi="ar-SA"/>
      </w:rPr>
    </w:lvl>
    <w:lvl w:ilvl="8" w:tplc="CD6A0426">
      <w:numFmt w:val="bullet"/>
      <w:lvlText w:val="•"/>
      <w:lvlJc w:val="left"/>
      <w:pPr>
        <w:ind w:left="4396" w:hanging="341"/>
      </w:pPr>
      <w:rPr>
        <w:rFonts w:hint="default"/>
        <w:lang w:val="uk-UA" w:eastAsia="en-US" w:bidi="ar-SA"/>
      </w:rPr>
    </w:lvl>
  </w:abstractNum>
  <w:abstractNum w:abstractNumId="8" w15:restartNumberingAfterBreak="0">
    <w:nsid w:val="11970C87"/>
    <w:multiLevelType w:val="hybridMultilevel"/>
    <w:tmpl w:val="89FAC16E"/>
    <w:lvl w:ilvl="0" w:tplc="16C87358">
      <w:numFmt w:val="bullet"/>
      <w:lvlText w:val="-"/>
      <w:lvlJc w:val="left"/>
      <w:pPr>
        <w:ind w:left="128" w:hanging="123"/>
      </w:pPr>
      <w:rPr>
        <w:rFonts w:ascii="Cambria" w:eastAsia="Cambria" w:hAnsi="Cambria" w:cs="Cambria" w:hint="default"/>
        <w:b w:val="0"/>
        <w:bCs w:val="0"/>
        <w:i w:val="0"/>
        <w:iCs w:val="0"/>
        <w:spacing w:val="0"/>
        <w:w w:val="100"/>
        <w:sz w:val="20"/>
        <w:szCs w:val="20"/>
        <w:lang w:val="uk-UA" w:eastAsia="en-US" w:bidi="ar-SA"/>
      </w:rPr>
    </w:lvl>
    <w:lvl w:ilvl="1" w:tplc="7130B4CE">
      <w:numFmt w:val="bullet"/>
      <w:lvlText w:val="•"/>
      <w:lvlJc w:val="left"/>
      <w:pPr>
        <w:ind w:left="742" w:hanging="123"/>
      </w:pPr>
      <w:rPr>
        <w:rFonts w:hint="default"/>
        <w:lang w:val="uk-UA" w:eastAsia="en-US" w:bidi="ar-SA"/>
      </w:rPr>
    </w:lvl>
    <w:lvl w:ilvl="2" w:tplc="E93E6C82">
      <w:numFmt w:val="bullet"/>
      <w:lvlText w:val="•"/>
      <w:lvlJc w:val="left"/>
      <w:pPr>
        <w:ind w:left="1365" w:hanging="123"/>
      </w:pPr>
      <w:rPr>
        <w:rFonts w:hint="default"/>
        <w:lang w:val="uk-UA" w:eastAsia="en-US" w:bidi="ar-SA"/>
      </w:rPr>
    </w:lvl>
    <w:lvl w:ilvl="3" w:tplc="2D6E4B92">
      <w:numFmt w:val="bullet"/>
      <w:lvlText w:val="•"/>
      <w:lvlJc w:val="left"/>
      <w:pPr>
        <w:ind w:left="1987" w:hanging="123"/>
      </w:pPr>
      <w:rPr>
        <w:rFonts w:hint="default"/>
        <w:lang w:val="uk-UA" w:eastAsia="en-US" w:bidi="ar-SA"/>
      </w:rPr>
    </w:lvl>
    <w:lvl w:ilvl="4" w:tplc="98E4CE14">
      <w:numFmt w:val="bullet"/>
      <w:lvlText w:val="•"/>
      <w:lvlJc w:val="left"/>
      <w:pPr>
        <w:ind w:left="2610" w:hanging="123"/>
      </w:pPr>
      <w:rPr>
        <w:rFonts w:hint="default"/>
        <w:lang w:val="uk-UA" w:eastAsia="en-US" w:bidi="ar-SA"/>
      </w:rPr>
    </w:lvl>
    <w:lvl w:ilvl="5" w:tplc="92A0AD38">
      <w:numFmt w:val="bullet"/>
      <w:lvlText w:val="•"/>
      <w:lvlJc w:val="left"/>
      <w:pPr>
        <w:ind w:left="3232" w:hanging="123"/>
      </w:pPr>
      <w:rPr>
        <w:rFonts w:hint="default"/>
        <w:lang w:val="uk-UA" w:eastAsia="en-US" w:bidi="ar-SA"/>
      </w:rPr>
    </w:lvl>
    <w:lvl w:ilvl="6" w:tplc="B61E115E">
      <w:numFmt w:val="bullet"/>
      <w:lvlText w:val="•"/>
      <w:lvlJc w:val="left"/>
      <w:pPr>
        <w:ind w:left="3855" w:hanging="123"/>
      </w:pPr>
      <w:rPr>
        <w:rFonts w:hint="default"/>
        <w:lang w:val="uk-UA" w:eastAsia="en-US" w:bidi="ar-SA"/>
      </w:rPr>
    </w:lvl>
    <w:lvl w:ilvl="7" w:tplc="917A6A7E">
      <w:numFmt w:val="bullet"/>
      <w:lvlText w:val="•"/>
      <w:lvlJc w:val="left"/>
      <w:pPr>
        <w:ind w:left="4477" w:hanging="123"/>
      </w:pPr>
      <w:rPr>
        <w:rFonts w:hint="default"/>
        <w:lang w:val="uk-UA" w:eastAsia="en-US" w:bidi="ar-SA"/>
      </w:rPr>
    </w:lvl>
    <w:lvl w:ilvl="8" w:tplc="03F06256">
      <w:numFmt w:val="bullet"/>
      <w:lvlText w:val="•"/>
      <w:lvlJc w:val="left"/>
      <w:pPr>
        <w:ind w:left="5100" w:hanging="123"/>
      </w:pPr>
      <w:rPr>
        <w:rFonts w:hint="default"/>
        <w:lang w:val="uk-UA" w:eastAsia="en-US" w:bidi="ar-SA"/>
      </w:rPr>
    </w:lvl>
  </w:abstractNum>
  <w:abstractNum w:abstractNumId="9" w15:restartNumberingAfterBreak="0">
    <w:nsid w:val="165D2D6C"/>
    <w:multiLevelType w:val="hybridMultilevel"/>
    <w:tmpl w:val="64F2FE86"/>
    <w:lvl w:ilvl="0" w:tplc="F87A18DA">
      <w:numFmt w:val="bullet"/>
      <w:lvlText w:val="•"/>
      <w:lvlJc w:val="left"/>
      <w:pPr>
        <w:ind w:left="356" w:hanging="341"/>
      </w:pPr>
      <w:rPr>
        <w:rFonts w:ascii="Cambria" w:eastAsia="Cambria" w:hAnsi="Cambria" w:cs="Cambria" w:hint="default"/>
        <w:b w:val="0"/>
        <w:bCs w:val="0"/>
        <w:i w:val="0"/>
        <w:iCs w:val="0"/>
        <w:spacing w:val="0"/>
        <w:w w:val="136"/>
        <w:sz w:val="22"/>
        <w:szCs w:val="22"/>
        <w:lang w:val="uk-UA" w:eastAsia="en-US" w:bidi="ar-SA"/>
      </w:rPr>
    </w:lvl>
    <w:lvl w:ilvl="1" w:tplc="D624CC72">
      <w:numFmt w:val="bullet"/>
      <w:lvlText w:val="•"/>
      <w:lvlJc w:val="left"/>
      <w:pPr>
        <w:ind w:left="844" w:hanging="341"/>
      </w:pPr>
      <w:rPr>
        <w:rFonts w:hint="default"/>
        <w:lang w:val="uk-UA" w:eastAsia="en-US" w:bidi="ar-SA"/>
      </w:rPr>
    </w:lvl>
    <w:lvl w:ilvl="2" w:tplc="C4FA3182">
      <w:numFmt w:val="bullet"/>
      <w:lvlText w:val="•"/>
      <w:lvlJc w:val="left"/>
      <w:pPr>
        <w:ind w:left="1328" w:hanging="341"/>
      </w:pPr>
      <w:rPr>
        <w:rFonts w:hint="default"/>
        <w:lang w:val="uk-UA" w:eastAsia="en-US" w:bidi="ar-SA"/>
      </w:rPr>
    </w:lvl>
    <w:lvl w:ilvl="3" w:tplc="B568F4FC">
      <w:numFmt w:val="bullet"/>
      <w:lvlText w:val="•"/>
      <w:lvlJc w:val="left"/>
      <w:pPr>
        <w:ind w:left="1813" w:hanging="341"/>
      </w:pPr>
      <w:rPr>
        <w:rFonts w:hint="default"/>
        <w:lang w:val="uk-UA" w:eastAsia="en-US" w:bidi="ar-SA"/>
      </w:rPr>
    </w:lvl>
    <w:lvl w:ilvl="4" w:tplc="24346756">
      <w:numFmt w:val="bullet"/>
      <w:lvlText w:val="•"/>
      <w:lvlJc w:val="left"/>
      <w:pPr>
        <w:ind w:left="2297" w:hanging="341"/>
      </w:pPr>
      <w:rPr>
        <w:rFonts w:hint="default"/>
        <w:lang w:val="uk-UA" w:eastAsia="en-US" w:bidi="ar-SA"/>
      </w:rPr>
    </w:lvl>
    <w:lvl w:ilvl="5" w:tplc="A65C8F44">
      <w:numFmt w:val="bullet"/>
      <w:lvlText w:val="•"/>
      <w:lvlJc w:val="left"/>
      <w:pPr>
        <w:ind w:left="2782" w:hanging="341"/>
      </w:pPr>
      <w:rPr>
        <w:rFonts w:hint="default"/>
        <w:lang w:val="uk-UA" w:eastAsia="en-US" w:bidi="ar-SA"/>
      </w:rPr>
    </w:lvl>
    <w:lvl w:ilvl="6" w:tplc="95485CA8">
      <w:numFmt w:val="bullet"/>
      <w:lvlText w:val="•"/>
      <w:lvlJc w:val="left"/>
      <w:pPr>
        <w:ind w:left="3266" w:hanging="341"/>
      </w:pPr>
      <w:rPr>
        <w:rFonts w:hint="default"/>
        <w:lang w:val="uk-UA" w:eastAsia="en-US" w:bidi="ar-SA"/>
      </w:rPr>
    </w:lvl>
    <w:lvl w:ilvl="7" w:tplc="00F28D2E">
      <w:numFmt w:val="bullet"/>
      <w:lvlText w:val="•"/>
      <w:lvlJc w:val="left"/>
      <w:pPr>
        <w:ind w:left="3750" w:hanging="341"/>
      </w:pPr>
      <w:rPr>
        <w:rFonts w:hint="default"/>
        <w:lang w:val="uk-UA" w:eastAsia="en-US" w:bidi="ar-SA"/>
      </w:rPr>
    </w:lvl>
    <w:lvl w:ilvl="8" w:tplc="BC2EE546">
      <w:numFmt w:val="bullet"/>
      <w:lvlText w:val="•"/>
      <w:lvlJc w:val="left"/>
      <w:pPr>
        <w:ind w:left="4235" w:hanging="341"/>
      </w:pPr>
      <w:rPr>
        <w:rFonts w:hint="default"/>
        <w:lang w:val="uk-UA" w:eastAsia="en-US" w:bidi="ar-SA"/>
      </w:rPr>
    </w:lvl>
  </w:abstractNum>
  <w:abstractNum w:abstractNumId="10" w15:restartNumberingAfterBreak="0">
    <w:nsid w:val="1A2D5D6D"/>
    <w:multiLevelType w:val="hybridMultilevel"/>
    <w:tmpl w:val="D9727E3A"/>
    <w:lvl w:ilvl="0" w:tplc="DC6CB9CA">
      <w:numFmt w:val="bullet"/>
      <w:lvlText w:val="-"/>
      <w:lvlJc w:val="left"/>
      <w:pPr>
        <w:ind w:left="351" w:hanging="341"/>
      </w:pPr>
      <w:rPr>
        <w:rFonts w:ascii="Cambria" w:eastAsia="Cambria" w:hAnsi="Cambria" w:cs="Cambria" w:hint="default"/>
        <w:b w:val="0"/>
        <w:bCs w:val="0"/>
        <w:i w:val="0"/>
        <w:iCs w:val="0"/>
        <w:spacing w:val="0"/>
        <w:w w:val="100"/>
        <w:sz w:val="22"/>
        <w:szCs w:val="22"/>
        <w:lang w:val="uk-UA" w:eastAsia="en-US" w:bidi="ar-SA"/>
      </w:rPr>
    </w:lvl>
    <w:lvl w:ilvl="1" w:tplc="1F38EC04">
      <w:numFmt w:val="bullet"/>
      <w:lvlText w:val="•"/>
      <w:lvlJc w:val="left"/>
      <w:pPr>
        <w:ind w:left="843" w:hanging="341"/>
      </w:pPr>
      <w:rPr>
        <w:rFonts w:hint="default"/>
        <w:lang w:val="uk-UA" w:eastAsia="en-US" w:bidi="ar-SA"/>
      </w:rPr>
    </w:lvl>
    <w:lvl w:ilvl="2" w:tplc="00BC6BA6">
      <w:numFmt w:val="bullet"/>
      <w:lvlText w:val="•"/>
      <w:lvlJc w:val="left"/>
      <w:pPr>
        <w:ind w:left="1327" w:hanging="341"/>
      </w:pPr>
      <w:rPr>
        <w:rFonts w:hint="default"/>
        <w:lang w:val="uk-UA" w:eastAsia="en-US" w:bidi="ar-SA"/>
      </w:rPr>
    </w:lvl>
    <w:lvl w:ilvl="3" w:tplc="1806216E">
      <w:numFmt w:val="bullet"/>
      <w:lvlText w:val="•"/>
      <w:lvlJc w:val="left"/>
      <w:pPr>
        <w:ind w:left="1811" w:hanging="341"/>
      </w:pPr>
      <w:rPr>
        <w:rFonts w:hint="default"/>
        <w:lang w:val="uk-UA" w:eastAsia="en-US" w:bidi="ar-SA"/>
      </w:rPr>
    </w:lvl>
    <w:lvl w:ilvl="4" w:tplc="CF8824EE">
      <w:numFmt w:val="bullet"/>
      <w:lvlText w:val="•"/>
      <w:lvlJc w:val="left"/>
      <w:pPr>
        <w:ind w:left="2295" w:hanging="341"/>
      </w:pPr>
      <w:rPr>
        <w:rFonts w:hint="default"/>
        <w:lang w:val="uk-UA" w:eastAsia="en-US" w:bidi="ar-SA"/>
      </w:rPr>
    </w:lvl>
    <w:lvl w:ilvl="5" w:tplc="1868A18C">
      <w:numFmt w:val="bullet"/>
      <w:lvlText w:val="•"/>
      <w:lvlJc w:val="left"/>
      <w:pPr>
        <w:ind w:left="2779" w:hanging="341"/>
      </w:pPr>
      <w:rPr>
        <w:rFonts w:hint="default"/>
        <w:lang w:val="uk-UA" w:eastAsia="en-US" w:bidi="ar-SA"/>
      </w:rPr>
    </w:lvl>
    <w:lvl w:ilvl="6" w:tplc="F724BEB0">
      <w:numFmt w:val="bullet"/>
      <w:lvlText w:val="•"/>
      <w:lvlJc w:val="left"/>
      <w:pPr>
        <w:ind w:left="3263" w:hanging="341"/>
      </w:pPr>
      <w:rPr>
        <w:rFonts w:hint="default"/>
        <w:lang w:val="uk-UA" w:eastAsia="en-US" w:bidi="ar-SA"/>
      </w:rPr>
    </w:lvl>
    <w:lvl w:ilvl="7" w:tplc="0E40EF34">
      <w:numFmt w:val="bullet"/>
      <w:lvlText w:val="•"/>
      <w:lvlJc w:val="left"/>
      <w:pPr>
        <w:ind w:left="3747" w:hanging="341"/>
      </w:pPr>
      <w:rPr>
        <w:rFonts w:hint="default"/>
        <w:lang w:val="uk-UA" w:eastAsia="en-US" w:bidi="ar-SA"/>
      </w:rPr>
    </w:lvl>
    <w:lvl w:ilvl="8" w:tplc="3578BC58">
      <w:numFmt w:val="bullet"/>
      <w:lvlText w:val="•"/>
      <w:lvlJc w:val="left"/>
      <w:pPr>
        <w:ind w:left="4231" w:hanging="341"/>
      </w:pPr>
      <w:rPr>
        <w:rFonts w:hint="default"/>
        <w:lang w:val="uk-UA" w:eastAsia="en-US" w:bidi="ar-SA"/>
      </w:rPr>
    </w:lvl>
  </w:abstractNum>
  <w:abstractNum w:abstractNumId="11" w15:restartNumberingAfterBreak="0">
    <w:nsid w:val="1D16119C"/>
    <w:multiLevelType w:val="hybridMultilevel"/>
    <w:tmpl w:val="8A626F96"/>
    <w:lvl w:ilvl="0" w:tplc="6AEEADA0">
      <w:numFmt w:val="bullet"/>
      <w:lvlText w:val="-"/>
      <w:lvlJc w:val="left"/>
      <w:pPr>
        <w:ind w:left="128" w:hanging="123"/>
      </w:pPr>
      <w:rPr>
        <w:rFonts w:ascii="Cambria" w:eastAsia="Cambria" w:hAnsi="Cambria" w:cs="Cambria" w:hint="default"/>
        <w:b w:val="0"/>
        <w:bCs w:val="0"/>
        <w:i w:val="0"/>
        <w:iCs w:val="0"/>
        <w:spacing w:val="0"/>
        <w:w w:val="100"/>
        <w:sz w:val="20"/>
        <w:szCs w:val="20"/>
        <w:lang w:val="uk-UA" w:eastAsia="en-US" w:bidi="ar-SA"/>
      </w:rPr>
    </w:lvl>
    <w:lvl w:ilvl="1" w:tplc="5A7C9D82">
      <w:numFmt w:val="bullet"/>
      <w:lvlText w:val="•"/>
      <w:lvlJc w:val="left"/>
      <w:pPr>
        <w:ind w:left="742" w:hanging="123"/>
      </w:pPr>
      <w:rPr>
        <w:rFonts w:hint="default"/>
        <w:lang w:val="uk-UA" w:eastAsia="en-US" w:bidi="ar-SA"/>
      </w:rPr>
    </w:lvl>
    <w:lvl w:ilvl="2" w:tplc="283AADEC">
      <w:numFmt w:val="bullet"/>
      <w:lvlText w:val="•"/>
      <w:lvlJc w:val="left"/>
      <w:pPr>
        <w:ind w:left="1365" w:hanging="123"/>
      </w:pPr>
      <w:rPr>
        <w:rFonts w:hint="default"/>
        <w:lang w:val="uk-UA" w:eastAsia="en-US" w:bidi="ar-SA"/>
      </w:rPr>
    </w:lvl>
    <w:lvl w:ilvl="3" w:tplc="B98E0E2E">
      <w:numFmt w:val="bullet"/>
      <w:lvlText w:val="•"/>
      <w:lvlJc w:val="left"/>
      <w:pPr>
        <w:ind w:left="1987" w:hanging="123"/>
      </w:pPr>
      <w:rPr>
        <w:rFonts w:hint="default"/>
        <w:lang w:val="uk-UA" w:eastAsia="en-US" w:bidi="ar-SA"/>
      </w:rPr>
    </w:lvl>
    <w:lvl w:ilvl="4" w:tplc="4FEEE2B4">
      <w:numFmt w:val="bullet"/>
      <w:lvlText w:val="•"/>
      <w:lvlJc w:val="left"/>
      <w:pPr>
        <w:ind w:left="2610" w:hanging="123"/>
      </w:pPr>
      <w:rPr>
        <w:rFonts w:hint="default"/>
        <w:lang w:val="uk-UA" w:eastAsia="en-US" w:bidi="ar-SA"/>
      </w:rPr>
    </w:lvl>
    <w:lvl w:ilvl="5" w:tplc="9B6E6F4E">
      <w:numFmt w:val="bullet"/>
      <w:lvlText w:val="•"/>
      <w:lvlJc w:val="left"/>
      <w:pPr>
        <w:ind w:left="3232" w:hanging="123"/>
      </w:pPr>
      <w:rPr>
        <w:rFonts w:hint="default"/>
        <w:lang w:val="uk-UA" w:eastAsia="en-US" w:bidi="ar-SA"/>
      </w:rPr>
    </w:lvl>
    <w:lvl w:ilvl="6" w:tplc="614C0C20">
      <w:numFmt w:val="bullet"/>
      <w:lvlText w:val="•"/>
      <w:lvlJc w:val="left"/>
      <w:pPr>
        <w:ind w:left="3855" w:hanging="123"/>
      </w:pPr>
      <w:rPr>
        <w:rFonts w:hint="default"/>
        <w:lang w:val="uk-UA" w:eastAsia="en-US" w:bidi="ar-SA"/>
      </w:rPr>
    </w:lvl>
    <w:lvl w:ilvl="7" w:tplc="84B48B84">
      <w:numFmt w:val="bullet"/>
      <w:lvlText w:val="•"/>
      <w:lvlJc w:val="left"/>
      <w:pPr>
        <w:ind w:left="4477" w:hanging="123"/>
      </w:pPr>
      <w:rPr>
        <w:rFonts w:hint="default"/>
        <w:lang w:val="uk-UA" w:eastAsia="en-US" w:bidi="ar-SA"/>
      </w:rPr>
    </w:lvl>
    <w:lvl w:ilvl="8" w:tplc="D5D25B36">
      <w:numFmt w:val="bullet"/>
      <w:lvlText w:val="•"/>
      <w:lvlJc w:val="left"/>
      <w:pPr>
        <w:ind w:left="5100" w:hanging="123"/>
      </w:pPr>
      <w:rPr>
        <w:rFonts w:hint="default"/>
        <w:lang w:val="uk-UA" w:eastAsia="en-US" w:bidi="ar-SA"/>
      </w:rPr>
    </w:lvl>
  </w:abstractNum>
  <w:abstractNum w:abstractNumId="12" w15:restartNumberingAfterBreak="0">
    <w:nsid w:val="27D01610"/>
    <w:multiLevelType w:val="hybridMultilevel"/>
    <w:tmpl w:val="2710E72E"/>
    <w:lvl w:ilvl="0" w:tplc="674C42CA">
      <w:numFmt w:val="bullet"/>
      <w:lvlText w:val="-"/>
      <w:lvlJc w:val="left"/>
      <w:pPr>
        <w:ind w:left="879" w:hanging="341"/>
      </w:pPr>
      <w:rPr>
        <w:rFonts w:ascii="Cambria" w:eastAsia="Cambria" w:hAnsi="Cambria" w:cs="Cambria" w:hint="default"/>
        <w:b w:val="0"/>
        <w:bCs w:val="0"/>
        <w:i w:val="0"/>
        <w:iCs w:val="0"/>
        <w:spacing w:val="0"/>
        <w:w w:val="100"/>
        <w:sz w:val="22"/>
        <w:szCs w:val="22"/>
        <w:lang w:val="uk-UA" w:eastAsia="en-US" w:bidi="ar-SA"/>
      </w:rPr>
    </w:lvl>
    <w:lvl w:ilvl="1" w:tplc="A52E6E16">
      <w:numFmt w:val="bullet"/>
      <w:lvlText w:val="•"/>
      <w:lvlJc w:val="left"/>
      <w:pPr>
        <w:ind w:left="1276" w:hanging="341"/>
      </w:pPr>
      <w:rPr>
        <w:rFonts w:hint="default"/>
        <w:lang w:val="uk-UA" w:eastAsia="en-US" w:bidi="ar-SA"/>
      </w:rPr>
    </w:lvl>
    <w:lvl w:ilvl="2" w:tplc="DDCA26AE">
      <w:numFmt w:val="bullet"/>
      <w:lvlText w:val="•"/>
      <w:lvlJc w:val="left"/>
      <w:pPr>
        <w:ind w:left="1673" w:hanging="341"/>
      </w:pPr>
      <w:rPr>
        <w:rFonts w:hint="default"/>
        <w:lang w:val="uk-UA" w:eastAsia="en-US" w:bidi="ar-SA"/>
      </w:rPr>
    </w:lvl>
    <w:lvl w:ilvl="3" w:tplc="63DC66B0">
      <w:numFmt w:val="bullet"/>
      <w:lvlText w:val="•"/>
      <w:lvlJc w:val="left"/>
      <w:pPr>
        <w:ind w:left="2070" w:hanging="341"/>
      </w:pPr>
      <w:rPr>
        <w:rFonts w:hint="default"/>
        <w:lang w:val="uk-UA" w:eastAsia="en-US" w:bidi="ar-SA"/>
      </w:rPr>
    </w:lvl>
    <w:lvl w:ilvl="4" w:tplc="0A582A46">
      <w:numFmt w:val="bullet"/>
      <w:lvlText w:val="•"/>
      <w:lvlJc w:val="left"/>
      <w:pPr>
        <w:ind w:left="2467" w:hanging="341"/>
      </w:pPr>
      <w:rPr>
        <w:rFonts w:hint="default"/>
        <w:lang w:val="uk-UA" w:eastAsia="en-US" w:bidi="ar-SA"/>
      </w:rPr>
    </w:lvl>
    <w:lvl w:ilvl="5" w:tplc="03B480E8">
      <w:numFmt w:val="bullet"/>
      <w:lvlText w:val="•"/>
      <w:lvlJc w:val="left"/>
      <w:pPr>
        <w:ind w:left="2864" w:hanging="341"/>
      </w:pPr>
      <w:rPr>
        <w:rFonts w:hint="default"/>
        <w:lang w:val="uk-UA" w:eastAsia="en-US" w:bidi="ar-SA"/>
      </w:rPr>
    </w:lvl>
    <w:lvl w:ilvl="6" w:tplc="E16CA122">
      <w:numFmt w:val="bullet"/>
      <w:lvlText w:val="•"/>
      <w:lvlJc w:val="left"/>
      <w:pPr>
        <w:ind w:left="3261" w:hanging="341"/>
      </w:pPr>
      <w:rPr>
        <w:rFonts w:hint="default"/>
        <w:lang w:val="uk-UA" w:eastAsia="en-US" w:bidi="ar-SA"/>
      </w:rPr>
    </w:lvl>
    <w:lvl w:ilvl="7" w:tplc="3A8A5312">
      <w:numFmt w:val="bullet"/>
      <w:lvlText w:val="•"/>
      <w:lvlJc w:val="left"/>
      <w:pPr>
        <w:ind w:left="3658" w:hanging="341"/>
      </w:pPr>
      <w:rPr>
        <w:rFonts w:hint="default"/>
        <w:lang w:val="uk-UA" w:eastAsia="en-US" w:bidi="ar-SA"/>
      </w:rPr>
    </w:lvl>
    <w:lvl w:ilvl="8" w:tplc="63CCFFD2">
      <w:numFmt w:val="bullet"/>
      <w:lvlText w:val="•"/>
      <w:lvlJc w:val="left"/>
      <w:pPr>
        <w:ind w:left="4054" w:hanging="341"/>
      </w:pPr>
      <w:rPr>
        <w:rFonts w:hint="default"/>
        <w:lang w:val="uk-UA" w:eastAsia="en-US" w:bidi="ar-SA"/>
      </w:rPr>
    </w:lvl>
  </w:abstractNum>
  <w:abstractNum w:abstractNumId="13" w15:restartNumberingAfterBreak="0">
    <w:nsid w:val="28DA5D60"/>
    <w:multiLevelType w:val="hybridMultilevel"/>
    <w:tmpl w:val="842E7954"/>
    <w:lvl w:ilvl="0" w:tplc="DC6CB9CA">
      <w:numFmt w:val="bullet"/>
      <w:lvlText w:val="-"/>
      <w:lvlJc w:val="left"/>
      <w:pPr>
        <w:ind w:left="356" w:hanging="341"/>
      </w:pPr>
      <w:rPr>
        <w:rFonts w:ascii="Cambria" w:eastAsia="Cambria" w:hAnsi="Cambria" w:cs="Cambria" w:hint="default"/>
        <w:b w:val="0"/>
        <w:bCs w:val="0"/>
        <w:i w:val="0"/>
        <w:iCs w:val="0"/>
        <w:spacing w:val="0"/>
        <w:w w:val="100"/>
        <w:sz w:val="22"/>
        <w:szCs w:val="22"/>
        <w:lang w:val="uk-UA" w:eastAsia="en-US" w:bidi="ar-SA"/>
      </w:rPr>
    </w:lvl>
    <w:lvl w:ilvl="1" w:tplc="AE769736">
      <w:numFmt w:val="bullet"/>
      <w:lvlText w:val="•"/>
      <w:lvlJc w:val="left"/>
      <w:pPr>
        <w:ind w:left="884" w:hanging="341"/>
      </w:pPr>
      <w:rPr>
        <w:rFonts w:hint="default"/>
        <w:lang w:val="uk-UA" w:eastAsia="en-US" w:bidi="ar-SA"/>
      </w:rPr>
    </w:lvl>
    <w:lvl w:ilvl="2" w:tplc="5B62357E">
      <w:numFmt w:val="bullet"/>
      <w:lvlText w:val="•"/>
      <w:lvlJc w:val="left"/>
      <w:pPr>
        <w:ind w:left="1408" w:hanging="341"/>
      </w:pPr>
      <w:rPr>
        <w:rFonts w:hint="default"/>
        <w:lang w:val="uk-UA" w:eastAsia="en-US" w:bidi="ar-SA"/>
      </w:rPr>
    </w:lvl>
    <w:lvl w:ilvl="3" w:tplc="AB66D406">
      <w:numFmt w:val="bullet"/>
      <w:lvlText w:val="•"/>
      <w:lvlJc w:val="left"/>
      <w:pPr>
        <w:ind w:left="1932" w:hanging="341"/>
      </w:pPr>
      <w:rPr>
        <w:rFonts w:hint="default"/>
        <w:lang w:val="uk-UA" w:eastAsia="en-US" w:bidi="ar-SA"/>
      </w:rPr>
    </w:lvl>
    <w:lvl w:ilvl="4" w:tplc="907A0622">
      <w:numFmt w:val="bullet"/>
      <w:lvlText w:val="•"/>
      <w:lvlJc w:val="left"/>
      <w:pPr>
        <w:ind w:left="2456" w:hanging="341"/>
      </w:pPr>
      <w:rPr>
        <w:rFonts w:hint="default"/>
        <w:lang w:val="uk-UA" w:eastAsia="en-US" w:bidi="ar-SA"/>
      </w:rPr>
    </w:lvl>
    <w:lvl w:ilvl="5" w:tplc="BCF46FE4">
      <w:numFmt w:val="bullet"/>
      <w:lvlText w:val="•"/>
      <w:lvlJc w:val="left"/>
      <w:pPr>
        <w:ind w:left="2980" w:hanging="341"/>
      </w:pPr>
      <w:rPr>
        <w:rFonts w:hint="default"/>
        <w:lang w:val="uk-UA" w:eastAsia="en-US" w:bidi="ar-SA"/>
      </w:rPr>
    </w:lvl>
    <w:lvl w:ilvl="6" w:tplc="FCCE3266">
      <w:numFmt w:val="bullet"/>
      <w:lvlText w:val="•"/>
      <w:lvlJc w:val="left"/>
      <w:pPr>
        <w:ind w:left="3504" w:hanging="341"/>
      </w:pPr>
      <w:rPr>
        <w:rFonts w:hint="default"/>
        <w:lang w:val="uk-UA" w:eastAsia="en-US" w:bidi="ar-SA"/>
      </w:rPr>
    </w:lvl>
    <w:lvl w:ilvl="7" w:tplc="ECC27A60">
      <w:numFmt w:val="bullet"/>
      <w:lvlText w:val="•"/>
      <w:lvlJc w:val="left"/>
      <w:pPr>
        <w:ind w:left="4028" w:hanging="341"/>
      </w:pPr>
      <w:rPr>
        <w:rFonts w:hint="default"/>
        <w:lang w:val="uk-UA" w:eastAsia="en-US" w:bidi="ar-SA"/>
      </w:rPr>
    </w:lvl>
    <w:lvl w:ilvl="8" w:tplc="45263E1A">
      <w:numFmt w:val="bullet"/>
      <w:lvlText w:val="•"/>
      <w:lvlJc w:val="left"/>
      <w:pPr>
        <w:ind w:left="4552" w:hanging="341"/>
      </w:pPr>
      <w:rPr>
        <w:rFonts w:hint="default"/>
        <w:lang w:val="uk-UA" w:eastAsia="en-US" w:bidi="ar-SA"/>
      </w:rPr>
    </w:lvl>
  </w:abstractNum>
  <w:abstractNum w:abstractNumId="14" w15:restartNumberingAfterBreak="0">
    <w:nsid w:val="2B7C78C8"/>
    <w:multiLevelType w:val="hybridMultilevel"/>
    <w:tmpl w:val="BCFCADBE"/>
    <w:lvl w:ilvl="0" w:tplc="C9D0EAE0">
      <w:numFmt w:val="bullet"/>
      <w:lvlText w:val="–"/>
      <w:lvlJc w:val="left"/>
      <w:pPr>
        <w:ind w:left="355" w:hanging="341"/>
      </w:pPr>
      <w:rPr>
        <w:rFonts w:ascii="Cambria" w:eastAsia="Cambria" w:hAnsi="Cambria" w:cs="Cambria" w:hint="default"/>
        <w:b w:val="0"/>
        <w:bCs w:val="0"/>
        <w:i w:val="0"/>
        <w:iCs w:val="0"/>
        <w:spacing w:val="0"/>
        <w:w w:val="111"/>
        <w:sz w:val="22"/>
        <w:szCs w:val="22"/>
        <w:lang w:val="uk-UA" w:eastAsia="en-US" w:bidi="ar-SA"/>
      </w:rPr>
    </w:lvl>
    <w:lvl w:ilvl="1" w:tplc="5704B05E">
      <w:numFmt w:val="bullet"/>
      <w:lvlText w:val="–"/>
      <w:lvlJc w:val="left"/>
      <w:pPr>
        <w:ind w:left="595" w:hanging="341"/>
      </w:pPr>
      <w:rPr>
        <w:rFonts w:ascii="Cambria" w:eastAsia="Cambria" w:hAnsi="Cambria" w:cs="Cambria" w:hint="default"/>
        <w:b w:val="0"/>
        <w:bCs w:val="0"/>
        <w:i w:val="0"/>
        <w:iCs w:val="0"/>
        <w:spacing w:val="0"/>
        <w:w w:val="111"/>
        <w:sz w:val="22"/>
        <w:szCs w:val="22"/>
        <w:lang w:val="uk-UA" w:eastAsia="en-US" w:bidi="ar-SA"/>
      </w:rPr>
    </w:lvl>
    <w:lvl w:ilvl="2" w:tplc="A0CE76A8">
      <w:numFmt w:val="bullet"/>
      <w:lvlText w:val="•"/>
      <w:lvlJc w:val="left"/>
      <w:pPr>
        <w:ind w:left="484" w:hanging="341"/>
      </w:pPr>
      <w:rPr>
        <w:rFonts w:hint="default"/>
        <w:lang w:val="uk-UA" w:eastAsia="en-US" w:bidi="ar-SA"/>
      </w:rPr>
    </w:lvl>
    <w:lvl w:ilvl="3" w:tplc="657A53AE">
      <w:numFmt w:val="bullet"/>
      <w:lvlText w:val="•"/>
      <w:lvlJc w:val="left"/>
      <w:pPr>
        <w:ind w:left="369" w:hanging="341"/>
      </w:pPr>
      <w:rPr>
        <w:rFonts w:hint="default"/>
        <w:lang w:val="uk-UA" w:eastAsia="en-US" w:bidi="ar-SA"/>
      </w:rPr>
    </w:lvl>
    <w:lvl w:ilvl="4" w:tplc="B0E60296">
      <w:numFmt w:val="bullet"/>
      <w:lvlText w:val="•"/>
      <w:lvlJc w:val="left"/>
      <w:pPr>
        <w:ind w:left="254" w:hanging="341"/>
      </w:pPr>
      <w:rPr>
        <w:rFonts w:hint="default"/>
        <w:lang w:val="uk-UA" w:eastAsia="en-US" w:bidi="ar-SA"/>
      </w:rPr>
    </w:lvl>
    <w:lvl w:ilvl="5" w:tplc="9D8819FC">
      <w:numFmt w:val="bullet"/>
      <w:lvlText w:val="•"/>
      <w:lvlJc w:val="left"/>
      <w:pPr>
        <w:ind w:left="139" w:hanging="341"/>
      </w:pPr>
      <w:rPr>
        <w:rFonts w:hint="default"/>
        <w:lang w:val="uk-UA" w:eastAsia="en-US" w:bidi="ar-SA"/>
      </w:rPr>
    </w:lvl>
    <w:lvl w:ilvl="6" w:tplc="2308558C">
      <w:numFmt w:val="bullet"/>
      <w:lvlText w:val="•"/>
      <w:lvlJc w:val="left"/>
      <w:pPr>
        <w:ind w:left="24" w:hanging="341"/>
      </w:pPr>
      <w:rPr>
        <w:rFonts w:hint="default"/>
        <w:lang w:val="uk-UA" w:eastAsia="en-US" w:bidi="ar-SA"/>
      </w:rPr>
    </w:lvl>
    <w:lvl w:ilvl="7" w:tplc="4E4E9376">
      <w:numFmt w:val="bullet"/>
      <w:lvlText w:val="•"/>
      <w:lvlJc w:val="left"/>
      <w:pPr>
        <w:ind w:left="-92" w:hanging="341"/>
      </w:pPr>
      <w:rPr>
        <w:rFonts w:hint="default"/>
        <w:lang w:val="uk-UA" w:eastAsia="en-US" w:bidi="ar-SA"/>
      </w:rPr>
    </w:lvl>
    <w:lvl w:ilvl="8" w:tplc="B106D10C">
      <w:numFmt w:val="bullet"/>
      <w:lvlText w:val="•"/>
      <w:lvlJc w:val="left"/>
      <w:pPr>
        <w:ind w:left="-207" w:hanging="341"/>
      </w:pPr>
      <w:rPr>
        <w:rFonts w:hint="default"/>
        <w:lang w:val="uk-UA" w:eastAsia="en-US" w:bidi="ar-SA"/>
      </w:rPr>
    </w:lvl>
  </w:abstractNum>
  <w:abstractNum w:abstractNumId="15" w15:restartNumberingAfterBreak="0">
    <w:nsid w:val="2FAA3BBC"/>
    <w:multiLevelType w:val="hybridMultilevel"/>
    <w:tmpl w:val="063A2B7C"/>
    <w:lvl w:ilvl="0" w:tplc="DC6CB9CA">
      <w:numFmt w:val="bullet"/>
      <w:lvlText w:val="-"/>
      <w:lvlJc w:val="left"/>
      <w:pPr>
        <w:ind w:left="351" w:hanging="341"/>
      </w:pPr>
      <w:rPr>
        <w:rFonts w:ascii="Cambria" w:eastAsia="Cambria" w:hAnsi="Cambria" w:cs="Cambria" w:hint="default"/>
        <w:b w:val="0"/>
        <w:bCs w:val="0"/>
        <w:i w:val="0"/>
        <w:iCs w:val="0"/>
        <w:spacing w:val="0"/>
        <w:w w:val="100"/>
        <w:sz w:val="22"/>
        <w:szCs w:val="22"/>
        <w:lang w:val="uk-UA" w:eastAsia="en-US" w:bidi="ar-SA"/>
      </w:rPr>
    </w:lvl>
    <w:lvl w:ilvl="1" w:tplc="56FC8C8E">
      <w:numFmt w:val="bullet"/>
      <w:lvlText w:val="•"/>
      <w:lvlJc w:val="left"/>
      <w:pPr>
        <w:ind w:left="883" w:hanging="341"/>
      </w:pPr>
      <w:rPr>
        <w:rFonts w:hint="default"/>
        <w:lang w:val="uk-UA" w:eastAsia="en-US" w:bidi="ar-SA"/>
      </w:rPr>
    </w:lvl>
    <w:lvl w:ilvl="2" w:tplc="C1DC99D4">
      <w:numFmt w:val="bullet"/>
      <w:lvlText w:val="•"/>
      <w:lvlJc w:val="left"/>
      <w:pPr>
        <w:ind w:left="1407" w:hanging="341"/>
      </w:pPr>
      <w:rPr>
        <w:rFonts w:hint="default"/>
        <w:lang w:val="uk-UA" w:eastAsia="en-US" w:bidi="ar-SA"/>
      </w:rPr>
    </w:lvl>
    <w:lvl w:ilvl="3" w:tplc="FCEEED12">
      <w:numFmt w:val="bullet"/>
      <w:lvlText w:val="•"/>
      <w:lvlJc w:val="left"/>
      <w:pPr>
        <w:ind w:left="1931" w:hanging="341"/>
      </w:pPr>
      <w:rPr>
        <w:rFonts w:hint="default"/>
        <w:lang w:val="uk-UA" w:eastAsia="en-US" w:bidi="ar-SA"/>
      </w:rPr>
    </w:lvl>
    <w:lvl w:ilvl="4" w:tplc="8C6ED860">
      <w:numFmt w:val="bullet"/>
      <w:lvlText w:val="•"/>
      <w:lvlJc w:val="left"/>
      <w:pPr>
        <w:ind w:left="2454" w:hanging="341"/>
      </w:pPr>
      <w:rPr>
        <w:rFonts w:hint="default"/>
        <w:lang w:val="uk-UA" w:eastAsia="en-US" w:bidi="ar-SA"/>
      </w:rPr>
    </w:lvl>
    <w:lvl w:ilvl="5" w:tplc="6804E34C">
      <w:numFmt w:val="bullet"/>
      <w:lvlText w:val="•"/>
      <w:lvlJc w:val="left"/>
      <w:pPr>
        <w:ind w:left="2978" w:hanging="341"/>
      </w:pPr>
      <w:rPr>
        <w:rFonts w:hint="default"/>
        <w:lang w:val="uk-UA" w:eastAsia="en-US" w:bidi="ar-SA"/>
      </w:rPr>
    </w:lvl>
    <w:lvl w:ilvl="6" w:tplc="6E5C1A78">
      <w:numFmt w:val="bullet"/>
      <w:lvlText w:val="•"/>
      <w:lvlJc w:val="left"/>
      <w:pPr>
        <w:ind w:left="3502" w:hanging="341"/>
      </w:pPr>
      <w:rPr>
        <w:rFonts w:hint="default"/>
        <w:lang w:val="uk-UA" w:eastAsia="en-US" w:bidi="ar-SA"/>
      </w:rPr>
    </w:lvl>
    <w:lvl w:ilvl="7" w:tplc="C27CC6AA">
      <w:numFmt w:val="bullet"/>
      <w:lvlText w:val="•"/>
      <w:lvlJc w:val="left"/>
      <w:pPr>
        <w:ind w:left="4025" w:hanging="341"/>
      </w:pPr>
      <w:rPr>
        <w:rFonts w:hint="default"/>
        <w:lang w:val="uk-UA" w:eastAsia="en-US" w:bidi="ar-SA"/>
      </w:rPr>
    </w:lvl>
    <w:lvl w:ilvl="8" w:tplc="F820A26C">
      <w:numFmt w:val="bullet"/>
      <w:lvlText w:val="•"/>
      <w:lvlJc w:val="left"/>
      <w:pPr>
        <w:ind w:left="4549" w:hanging="341"/>
      </w:pPr>
      <w:rPr>
        <w:rFonts w:hint="default"/>
        <w:lang w:val="uk-UA" w:eastAsia="en-US" w:bidi="ar-SA"/>
      </w:rPr>
    </w:lvl>
  </w:abstractNum>
  <w:abstractNum w:abstractNumId="16" w15:restartNumberingAfterBreak="0">
    <w:nsid w:val="3262184B"/>
    <w:multiLevelType w:val="hybridMultilevel"/>
    <w:tmpl w:val="AC84D46C"/>
    <w:lvl w:ilvl="0" w:tplc="A9243702">
      <w:numFmt w:val="bullet"/>
      <w:lvlText w:val=""/>
      <w:lvlJc w:val="left"/>
      <w:pPr>
        <w:ind w:left="992" w:hanging="341"/>
      </w:pPr>
      <w:rPr>
        <w:rFonts w:ascii="Wingdings" w:eastAsia="Wingdings" w:hAnsi="Wingdings" w:cs="Wingdings" w:hint="default"/>
        <w:b w:val="0"/>
        <w:bCs w:val="0"/>
        <w:i w:val="0"/>
        <w:iCs w:val="0"/>
        <w:spacing w:val="0"/>
        <w:w w:val="100"/>
        <w:sz w:val="16"/>
        <w:szCs w:val="16"/>
        <w:lang w:val="uk-UA" w:eastAsia="en-US" w:bidi="ar-SA"/>
      </w:rPr>
    </w:lvl>
    <w:lvl w:ilvl="1" w:tplc="ECAC350E">
      <w:numFmt w:val="bullet"/>
      <w:lvlText w:val="•"/>
      <w:lvlJc w:val="left"/>
      <w:pPr>
        <w:ind w:left="1424" w:hanging="341"/>
      </w:pPr>
      <w:rPr>
        <w:rFonts w:hint="default"/>
        <w:lang w:val="uk-UA" w:eastAsia="en-US" w:bidi="ar-SA"/>
      </w:rPr>
    </w:lvl>
    <w:lvl w:ilvl="2" w:tplc="EBA4AC1C">
      <w:numFmt w:val="bullet"/>
      <w:lvlText w:val="•"/>
      <w:lvlJc w:val="left"/>
      <w:pPr>
        <w:ind w:left="1849" w:hanging="341"/>
      </w:pPr>
      <w:rPr>
        <w:rFonts w:hint="default"/>
        <w:lang w:val="uk-UA" w:eastAsia="en-US" w:bidi="ar-SA"/>
      </w:rPr>
    </w:lvl>
    <w:lvl w:ilvl="3" w:tplc="5010DD4E">
      <w:numFmt w:val="bullet"/>
      <w:lvlText w:val="•"/>
      <w:lvlJc w:val="left"/>
      <w:pPr>
        <w:ind w:left="2273" w:hanging="341"/>
      </w:pPr>
      <w:rPr>
        <w:rFonts w:hint="default"/>
        <w:lang w:val="uk-UA" w:eastAsia="en-US" w:bidi="ar-SA"/>
      </w:rPr>
    </w:lvl>
    <w:lvl w:ilvl="4" w:tplc="77E2919E">
      <w:numFmt w:val="bullet"/>
      <w:lvlText w:val="•"/>
      <w:lvlJc w:val="left"/>
      <w:pPr>
        <w:ind w:left="2698" w:hanging="341"/>
      </w:pPr>
      <w:rPr>
        <w:rFonts w:hint="default"/>
        <w:lang w:val="uk-UA" w:eastAsia="en-US" w:bidi="ar-SA"/>
      </w:rPr>
    </w:lvl>
    <w:lvl w:ilvl="5" w:tplc="C750C68C">
      <w:numFmt w:val="bullet"/>
      <w:lvlText w:val="•"/>
      <w:lvlJc w:val="left"/>
      <w:pPr>
        <w:ind w:left="3122" w:hanging="341"/>
      </w:pPr>
      <w:rPr>
        <w:rFonts w:hint="default"/>
        <w:lang w:val="uk-UA" w:eastAsia="en-US" w:bidi="ar-SA"/>
      </w:rPr>
    </w:lvl>
    <w:lvl w:ilvl="6" w:tplc="80E09910">
      <w:numFmt w:val="bullet"/>
      <w:lvlText w:val="•"/>
      <w:lvlJc w:val="left"/>
      <w:pPr>
        <w:ind w:left="3547" w:hanging="341"/>
      </w:pPr>
      <w:rPr>
        <w:rFonts w:hint="default"/>
        <w:lang w:val="uk-UA" w:eastAsia="en-US" w:bidi="ar-SA"/>
      </w:rPr>
    </w:lvl>
    <w:lvl w:ilvl="7" w:tplc="A43AD734">
      <w:numFmt w:val="bullet"/>
      <w:lvlText w:val="•"/>
      <w:lvlJc w:val="left"/>
      <w:pPr>
        <w:ind w:left="3971" w:hanging="341"/>
      </w:pPr>
      <w:rPr>
        <w:rFonts w:hint="default"/>
        <w:lang w:val="uk-UA" w:eastAsia="en-US" w:bidi="ar-SA"/>
      </w:rPr>
    </w:lvl>
    <w:lvl w:ilvl="8" w:tplc="7A185BFA">
      <w:numFmt w:val="bullet"/>
      <w:lvlText w:val="•"/>
      <w:lvlJc w:val="left"/>
      <w:pPr>
        <w:ind w:left="4396" w:hanging="341"/>
      </w:pPr>
      <w:rPr>
        <w:rFonts w:hint="default"/>
        <w:lang w:val="uk-UA" w:eastAsia="en-US" w:bidi="ar-SA"/>
      </w:rPr>
    </w:lvl>
  </w:abstractNum>
  <w:abstractNum w:abstractNumId="17" w15:restartNumberingAfterBreak="0">
    <w:nsid w:val="32F46B87"/>
    <w:multiLevelType w:val="hybridMultilevel"/>
    <w:tmpl w:val="D9067478"/>
    <w:lvl w:ilvl="0" w:tplc="DC6CB9CA">
      <w:numFmt w:val="bullet"/>
      <w:lvlText w:val="-"/>
      <w:lvlJc w:val="left"/>
      <w:pPr>
        <w:ind w:left="595" w:hanging="341"/>
      </w:pPr>
      <w:rPr>
        <w:rFonts w:ascii="Cambria" w:eastAsia="Cambria" w:hAnsi="Cambria" w:cs="Cambria" w:hint="default"/>
        <w:b w:val="0"/>
        <w:bCs w:val="0"/>
        <w:i w:val="0"/>
        <w:iCs w:val="0"/>
        <w:spacing w:val="0"/>
        <w:w w:val="100"/>
        <w:sz w:val="22"/>
        <w:szCs w:val="22"/>
        <w:lang w:val="uk-UA" w:eastAsia="en-US" w:bidi="ar-SA"/>
      </w:rPr>
    </w:lvl>
    <w:lvl w:ilvl="1" w:tplc="F07A1058">
      <w:numFmt w:val="bullet"/>
      <w:lvlText w:val="•"/>
      <w:lvlJc w:val="left"/>
      <w:pPr>
        <w:ind w:left="1024" w:hanging="341"/>
      </w:pPr>
      <w:rPr>
        <w:rFonts w:hint="default"/>
        <w:lang w:val="uk-UA" w:eastAsia="en-US" w:bidi="ar-SA"/>
      </w:rPr>
    </w:lvl>
    <w:lvl w:ilvl="2" w:tplc="6D1A0AD2">
      <w:numFmt w:val="bullet"/>
      <w:lvlText w:val="•"/>
      <w:lvlJc w:val="left"/>
      <w:pPr>
        <w:ind w:left="1449" w:hanging="341"/>
      </w:pPr>
      <w:rPr>
        <w:rFonts w:hint="default"/>
        <w:lang w:val="uk-UA" w:eastAsia="en-US" w:bidi="ar-SA"/>
      </w:rPr>
    </w:lvl>
    <w:lvl w:ilvl="3" w:tplc="646AC29C">
      <w:numFmt w:val="bullet"/>
      <w:lvlText w:val="•"/>
      <w:lvlJc w:val="left"/>
      <w:pPr>
        <w:ind w:left="1874" w:hanging="341"/>
      </w:pPr>
      <w:rPr>
        <w:rFonts w:hint="default"/>
        <w:lang w:val="uk-UA" w:eastAsia="en-US" w:bidi="ar-SA"/>
      </w:rPr>
    </w:lvl>
    <w:lvl w:ilvl="4" w:tplc="6D00017C">
      <w:numFmt w:val="bullet"/>
      <w:lvlText w:val="•"/>
      <w:lvlJc w:val="left"/>
      <w:pPr>
        <w:ind w:left="2299" w:hanging="341"/>
      </w:pPr>
      <w:rPr>
        <w:rFonts w:hint="default"/>
        <w:lang w:val="uk-UA" w:eastAsia="en-US" w:bidi="ar-SA"/>
      </w:rPr>
    </w:lvl>
    <w:lvl w:ilvl="5" w:tplc="302EE038">
      <w:numFmt w:val="bullet"/>
      <w:lvlText w:val="•"/>
      <w:lvlJc w:val="left"/>
      <w:pPr>
        <w:ind w:left="2724" w:hanging="341"/>
      </w:pPr>
      <w:rPr>
        <w:rFonts w:hint="default"/>
        <w:lang w:val="uk-UA" w:eastAsia="en-US" w:bidi="ar-SA"/>
      </w:rPr>
    </w:lvl>
    <w:lvl w:ilvl="6" w:tplc="503EB8A8">
      <w:numFmt w:val="bullet"/>
      <w:lvlText w:val="•"/>
      <w:lvlJc w:val="left"/>
      <w:pPr>
        <w:ind w:left="3149" w:hanging="341"/>
      </w:pPr>
      <w:rPr>
        <w:rFonts w:hint="default"/>
        <w:lang w:val="uk-UA" w:eastAsia="en-US" w:bidi="ar-SA"/>
      </w:rPr>
    </w:lvl>
    <w:lvl w:ilvl="7" w:tplc="B94C3080">
      <w:numFmt w:val="bullet"/>
      <w:lvlText w:val="•"/>
      <w:lvlJc w:val="left"/>
      <w:pPr>
        <w:ind w:left="3574" w:hanging="341"/>
      </w:pPr>
      <w:rPr>
        <w:rFonts w:hint="default"/>
        <w:lang w:val="uk-UA" w:eastAsia="en-US" w:bidi="ar-SA"/>
      </w:rPr>
    </w:lvl>
    <w:lvl w:ilvl="8" w:tplc="F6526994">
      <w:numFmt w:val="bullet"/>
      <w:lvlText w:val="•"/>
      <w:lvlJc w:val="left"/>
      <w:pPr>
        <w:ind w:left="3998" w:hanging="341"/>
      </w:pPr>
      <w:rPr>
        <w:rFonts w:hint="default"/>
        <w:lang w:val="uk-UA" w:eastAsia="en-US" w:bidi="ar-SA"/>
      </w:rPr>
    </w:lvl>
  </w:abstractNum>
  <w:abstractNum w:abstractNumId="18" w15:restartNumberingAfterBreak="0">
    <w:nsid w:val="334B72C0"/>
    <w:multiLevelType w:val="hybridMultilevel"/>
    <w:tmpl w:val="03D692BA"/>
    <w:lvl w:ilvl="0" w:tplc="81AAB8DA">
      <w:numFmt w:val="bullet"/>
      <w:lvlText w:val="-"/>
      <w:lvlJc w:val="left"/>
      <w:pPr>
        <w:ind w:left="0" w:hanging="87"/>
      </w:pPr>
      <w:rPr>
        <w:rFonts w:ascii="Times New Roman" w:eastAsia="Times New Roman" w:hAnsi="Times New Roman" w:cs="Times New Roman" w:hint="default"/>
        <w:b w:val="0"/>
        <w:bCs w:val="0"/>
        <w:i w:val="0"/>
        <w:iCs w:val="0"/>
        <w:spacing w:val="0"/>
        <w:w w:val="98"/>
        <w:sz w:val="15"/>
        <w:szCs w:val="15"/>
        <w:lang w:val="uk-UA" w:eastAsia="en-US" w:bidi="ar-SA"/>
      </w:rPr>
    </w:lvl>
    <w:lvl w:ilvl="1" w:tplc="3A16BB4A">
      <w:numFmt w:val="bullet"/>
      <w:lvlText w:val="•"/>
      <w:lvlJc w:val="left"/>
      <w:pPr>
        <w:ind w:left="172" w:hanging="87"/>
      </w:pPr>
      <w:rPr>
        <w:rFonts w:hint="default"/>
        <w:lang w:val="uk-UA" w:eastAsia="en-US" w:bidi="ar-SA"/>
      </w:rPr>
    </w:lvl>
    <w:lvl w:ilvl="2" w:tplc="BE44B8A4">
      <w:numFmt w:val="bullet"/>
      <w:lvlText w:val="•"/>
      <w:lvlJc w:val="left"/>
      <w:pPr>
        <w:ind w:left="345" w:hanging="87"/>
      </w:pPr>
      <w:rPr>
        <w:rFonts w:hint="default"/>
        <w:lang w:val="uk-UA" w:eastAsia="en-US" w:bidi="ar-SA"/>
      </w:rPr>
    </w:lvl>
    <w:lvl w:ilvl="3" w:tplc="EB3E33BE">
      <w:numFmt w:val="bullet"/>
      <w:lvlText w:val="•"/>
      <w:lvlJc w:val="left"/>
      <w:pPr>
        <w:ind w:left="518" w:hanging="87"/>
      </w:pPr>
      <w:rPr>
        <w:rFonts w:hint="default"/>
        <w:lang w:val="uk-UA" w:eastAsia="en-US" w:bidi="ar-SA"/>
      </w:rPr>
    </w:lvl>
    <w:lvl w:ilvl="4" w:tplc="4934ADB4">
      <w:numFmt w:val="bullet"/>
      <w:lvlText w:val="•"/>
      <w:lvlJc w:val="left"/>
      <w:pPr>
        <w:ind w:left="691" w:hanging="87"/>
      </w:pPr>
      <w:rPr>
        <w:rFonts w:hint="default"/>
        <w:lang w:val="uk-UA" w:eastAsia="en-US" w:bidi="ar-SA"/>
      </w:rPr>
    </w:lvl>
    <w:lvl w:ilvl="5" w:tplc="48DA33F0">
      <w:numFmt w:val="bullet"/>
      <w:lvlText w:val="•"/>
      <w:lvlJc w:val="left"/>
      <w:pPr>
        <w:ind w:left="864" w:hanging="87"/>
      </w:pPr>
      <w:rPr>
        <w:rFonts w:hint="default"/>
        <w:lang w:val="uk-UA" w:eastAsia="en-US" w:bidi="ar-SA"/>
      </w:rPr>
    </w:lvl>
    <w:lvl w:ilvl="6" w:tplc="E678294C">
      <w:numFmt w:val="bullet"/>
      <w:lvlText w:val="•"/>
      <w:lvlJc w:val="left"/>
      <w:pPr>
        <w:ind w:left="1037" w:hanging="87"/>
      </w:pPr>
      <w:rPr>
        <w:rFonts w:hint="default"/>
        <w:lang w:val="uk-UA" w:eastAsia="en-US" w:bidi="ar-SA"/>
      </w:rPr>
    </w:lvl>
    <w:lvl w:ilvl="7" w:tplc="B20E5D46">
      <w:numFmt w:val="bullet"/>
      <w:lvlText w:val="•"/>
      <w:lvlJc w:val="left"/>
      <w:pPr>
        <w:ind w:left="1210" w:hanging="87"/>
      </w:pPr>
      <w:rPr>
        <w:rFonts w:hint="default"/>
        <w:lang w:val="uk-UA" w:eastAsia="en-US" w:bidi="ar-SA"/>
      </w:rPr>
    </w:lvl>
    <w:lvl w:ilvl="8" w:tplc="D2745B5E">
      <w:numFmt w:val="bullet"/>
      <w:lvlText w:val="•"/>
      <w:lvlJc w:val="left"/>
      <w:pPr>
        <w:ind w:left="1383" w:hanging="87"/>
      </w:pPr>
      <w:rPr>
        <w:rFonts w:hint="default"/>
        <w:lang w:val="uk-UA" w:eastAsia="en-US" w:bidi="ar-SA"/>
      </w:rPr>
    </w:lvl>
  </w:abstractNum>
  <w:abstractNum w:abstractNumId="19" w15:restartNumberingAfterBreak="0">
    <w:nsid w:val="33770D36"/>
    <w:multiLevelType w:val="hybridMultilevel"/>
    <w:tmpl w:val="20D25F6C"/>
    <w:lvl w:ilvl="0" w:tplc="4000AD68">
      <w:numFmt w:val="bullet"/>
      <w:lvlText w:val="-"/>
      <w:lvlJc w:val="left"/>
      <w:pPr>
        <w:ind w:left="992" w:hanging="187"/>
      </w:pPr>
      <w:rPr>
        <w:rFonts w:ascii="Cambria" w:eastAsia="Cambria" w:hAnsi="Cambria" w:cs="Cambria" w:hint="default"/>
        <w:b w:val="0"/>
        <w:bCs w:val="0"/>
        <w:i w:val="0"/>
        <w:iCs w:val="0"/>
        <w:spacing w:val="0"/>
        <w:w w:val="100"/>
        <w:sz w:val="22"/>
        <w:szCs w:val="22"/>
        <w:lang w:val="uk-UA" w:eastAsia="en-US" w:bidi="ar-SA"/>
      </w:rPr>
    </w:lvl>
    <w:lvl w:ilvl="1" w:tplc="0C78B11E">
      <w:numFmt w:val="bullet"/>
      <w:lvlText w:val="•"/>
      <w:lvlJc w:val="left"/>
      <w:pPr>
        <w:ind w:left="1424" w:hanging="187"/>
      </w:pPr>
      <w:rPr>
        <w:rFonts w:hint="default"/>
        <w:lang w:val="uk-UA" w:eastAsia="en-US" w:bidi="ar-SA"/>
      </w:rPr>
    </w:lvl>
    <w:lvl w:ilvl="2" w:tplc="4C582A8C">
      <w:numFmt w:val="bullet"/>
      <w:lvlText w:val="•"/>
      <w:lvlJc w:val="left"/>
      <w:pPr>
        <w:ind w:left="1849" w:hanging="187"/>
      </w:pPr>
      <w:rPr>
        <w:rFonts w:hint="default"/>
        <w:lang w:val="uk-UA" w:eastAsia="en-US" w:bidi="ar-SA"/>
      </w:rPr>
    </w:lvl>
    <w:lvl w:ilvl="3" w:tplc="C01EE7B6">
      <w:numFmt w:val="bullet"/>
      <w:lvlText w:val="•"/>
      <w:lvlJc w:val="left"/>
      <w:pPr>
        <w:ind w:left="2273" w:hanging="187"/>
      </w:pPr>
      <w:rPr>
        <w:rFonts w:hint="default"/>
        <w:lang w:val="uk-UA" w:eastAsia="en-US" w:bidi="ar-SA"/>
      </w:rPr>
    </w:lvl>
    <w:lvl w:ilvl="4" w:tplc="EBBE8848">
      <w:numFmt w:val="bullet"/>
      <w:lvlText w:val="•"/>
      <w:lvlJc w:val="left"/>
      <w:pPr>
        <w:ind w:left="2698" w:hanging="187"/>
      </w:pPr>
      <w:rPr>
        <w:rFonts w:hint="default"/>
        <w:lang w:val="uk-UA" w:eastAsia="en-US" w:bidi="ar-SA"/>
      </w:rPr>
    </w:lvl>
    <w:lvl w:ilvl="5" w:tplc="C2E0ADC8">
      <w:numFmt w:val="bullet"/>
      <w:lvlText w:val="•"/>
      <w:lvlJc w:val="left"/>
      <w:pPr>
        <w:ind w:left="3122" w:hanging="187"/>
      </w:pPr>
      <w:rPr>
        <w:rFonts w:hint="default"/>
        <w:lang w:val="uk-UA" w:eastAsia="en-US" w:bidi="ar-SA"/>
      </w:rPr>
    </w:lvl>
    <w:lvl w:ilvl="6" w:tplc="6FD6080C">
      <w:numFmt w:val="bullet"/>
      <w:lvlText w:val="•"/>
      <w:lvlJc w:val="left"/>
      <w:pPr>
        <w:ind w:left="3547" w:hanging="187"/>
      </w:pPr>
      <w:rPr>
        <w:rFonts w:hint="default"/>
        <w:lang w:val="uk-UA" w:eastAsia="en-US" w:bidi="ar-SA"/>
      </w:rPr>
    </w:lvl>
    <w:lvl w:ilvl="7" w:tplc="F98ADA94">
      <w:numFmt w:val="bullet"/>
      <w:lvlText w:val="•"/>
      <w:lvlJc w:val="left"/>
      <w:pPr>
        <w:ind w:left="3971" w:hanging="187"/>
      </w:pPr>
      <w:rPr>
        <w:rFonts w:hint="default"/>
        <w:lang w:val="uk-UA" w:eastAsia="en-US" w:bidi="ar-SA"/>
      </w:rPr>
    </w:lvl>
    <w:lvl w:ilvl="8" w:tplc="E50C9D3A">
      <w:numFmt w:val="bullet"/>
      <w:lvlText w:val="•"/>
      <w:lvlJc w:val="left"/>
      <w:pPr>
        <w:ind w:left="4396" w:hanging="187"/>
      </w:pPr>
      <w:rPr>
        <w:rFonts w:hint="default"/>
        <w:lang w:val="uk-UA" w:eastAsia="en-US" w:bidi="ar-SA"/>
      </w:rPr>
    </w:lvl>
  </w:abstractNum>
  <w:abstractNum w:abstractNumId="20" w15:restartNumberingAfterBreak="0">
    <w:nsid w:val="36993E5B"/>
    <w:multiLevelType w:val="hybridMultilevel"/>
    <w:tmpl w:val="055CFC80"/>
    <w:lvl w:ilvl="0" w:tplc="DC6CB9CA">
      <w:numFmt w:val="bullet"/>
      <w:lvlText w:val="-"/>
      <w:lvlJc w:val="left"/>
      <w:pPr>
        <w:ind w:left="595" w:hanging="341"/>
      </w:pPr>
      <w:rPr>
        <w:rFonts w:ascii="Cambria" w:eastAsia="Cambria" w:hAnsi="Cambria" w:cs="Cambria" w:hint="default"/>
        <w:b w:val="0"/>
        <w:bCs w:val="0"/>
        <w:i w:val="0"/>
        <w:iCs w:val="0"/>
        <w:spacing w:val="0"/>
        <w:w w:val="100"/>
        <w:sz w:val="22"/>
        <w:szCs w:val="22"/>
        <w:lang w:val="uk-UA" w:eastAsia="en-US" w:bidi="ar-SA"/>
      </w:rPr>
    </w:lvl>
    <w:lvl w:ilvl="1" w:tplc="ADC4E700">
      <w:numFmt w:val="bullet"/>
      <w:lvlText w:val="•"/>
      <w:lvlJc w:val="left"/>
      <w:pPr>
        <w:ind w:left="1024" w:hanging="341"/>
      </w:pPr>
      <w:rPr>
        <w:rFonts w:hint="default"/>
        <w:lang w:val="uk-UA" w:eastAsia="en-US" w:bidi="ar-SA"/>
      </w:rPr>
    </w:lvl>
    <w:lvl w:ilvl="2" w:tplc="8F9A9176">
      <w:numFmt w:val="bullet"/>
      <w:lvlText w:val="•"/>
      <w:lvlJc w:val="left"/>
      <w:pPr>
        <w:ind w:left="1449" w:hanging="341"/>
      </w:pPr>
      <w:rPr>
        <w:rFonts w:hint="default"/>
        <w:lang w:val="uk-UA" w:eastAsia="en-US" w:bidi="ar-SA"/>
      </w:rPr>
    </w:lvl>
    <w:lvl w:ilvl="3" w:tplc="F0D00C66">
      <w:numFmt w:val="bullet"/>
      <w:lvlText w:val="•"/>
      <w:lvlJc w:val="left"/>
      <w:pPr>
        <w:ind w:left="1874" w:hanging="341"/>
      </w:pPr>
      <w:rPr>
        <w:rFonts w:hint="default"/>
        <w:lang w:val="uk-UA" w:eastAsia="en-US" w:bidi="ar-SA"/>
      </w:rPr>
    </w:lvl>
    <w:lvl w:ilvl="4" w:tplc="F95AB1AE">
      <w:numFmt w:val="bullet"/>
      <w:lvlText w:val="•"/>
      <w:lvlJc w:val="left"/>
      <w:pPr>
        <w:ind w:left="2299" w:hanging="341"/>
      </w:pPr>
      <w:rPr>
        <w:rFonts w:hint="default"/>
        <w:lang w:val="uk-UA" w:eastAsia="en-US" w:bidi="ar-SA"/>
      </w:rPr>
    </w:lvl>
    <w:lvl w:ilvl="5" w:tplc="F934F63E">
      <w:numFmt w:val="bullet"/>
      <w:lvlText w:val="•"/>
      <w:lvlJc w:val="left"/>
      <w:pPr>
        <w:ind w:left="2724" w:hanging="341"/>
      </w:pPr>
      <w:rPr>
        <w:rFonts w:hint="default"/>
        <w:lang w:val="uk-UA" w:eastAsia="en-US" w:bidi="ar-SA"/>
      </w:rPr>
    </w:lvl>
    <w:lvl w:ilvl="6" w:tplc="57C235FE">
      <w:numFmt w:val="bullet"/>
      <w:lvlText w:val="•"/>
      <w:lvlJc w:val="left"/>
      <w:pPr>
        <w:ind w:left="3149" w:hanging="341"/>
      </w:pPr>
      <w:rPr>
        <w:rFonts w:hint="default"/>
        <w:lang w:val="uk-UA" w:eastAsia="en-US" w:bidi="ar-SA"/>
      </w:rPr>
    </w:lvl>
    <w:lvl w:ilvl="7" w:tplc="E390B596">
      <w:numFmt w:val="bullet"/>
      <w:lvlText w:val="•"/>
      <w:lvlJc w:val="left"/>
      <w:pPr>
        <w:ind w:left="3574" w:hanging="341"/>
      </w:pPr>
      <w:rPr>
        <w:rFonts w:hint="default"/>
        <w:lang w:val="uk-UA" w:eastAsia="en-US" w:bidi="ar-SA"/>
      </w:rPr>
    </w:lvl>
    <w:lvl w:ilvl="8" w:tplc="DB70D544">
      <w:numFmt w:val="bullet"/>
      <w:lvlText w:val="•"/>
      <w:lvlJc w:val="left"/>
      <w:pPr>
        <w:ind w:left="3999" w:hanging="341"/>
      </w:pPr>
      <w:rPr>
        <w:rFonts w:hint="default"/>
        <w:lang w:val="uk-UA" w:eastAsia="en-US" w:bidi="ar-SA"/>
      </w:rPr>
    </w:lvl>
  </w:abstractNum>
  <w:abstractNum w:abstractNumId="21" w15:restartNumberingAfterBreak="0">
    <w:nsid w:val="37E32FAD"/>
    <w:multiLevelType w:val="hybridMultilevel"/>
    <w:tmpl w:val="30A486D0"/>
    <w:lvl w:ilvl="0" w:tplc="DD8287C2">
      <w:start w:val="1"/>
      <w:numFmt w:val="decimal"/>
      <w:lvlText w:val="%1."/>
      <w:lvlJc w:val="left"/>
      <w:pPr>
        <w:ind w:left="595" w:hanging="341"/>
      </w:pPr>
      <w:rPr>
        <w:rFonts w:ascii="Cambria" w:eastAsia="Cambria" w:hAnsi="Cambria" w:cs="Cambria" w:hint="default"/>
        <w:b w:val="0"/>
        <w:bCs w:val="0"/>
        <w:i w:val="0"/>
        <w:iCs w:val="0"/>
        <w:spacing w:val="0"/>
        <w:w w:val="109"/>
        <w:sz w:val="22"/>
        <w:szCs w:val="22"/>
        <w:lang w:val="uk-UA" w:eastAsia="en-US" w:bidi="ar-SA"/>
      </w:rPr>
    </w:lvl>
    <w:lvl w:ilvl="1" w:tplc="82AC5EC6">
      <w:numFmt w:val="bullet"/>
      <w:lvlText w:val=""/>
      <w:lvlJc w:val="left"/>
      <w:pPr>
        <w:ind w:left="992" w:hanging="341"/>
      </w:pPr>
      <w:rPr>
        <w:rFonts w:ascii="Wingdings" w:eastAsia="Wingdings" w:hAnsi="Wingdings" w:cs="Wingdings" w:hint="default"/>
        <w:b w:val="0"/>
        <w:bCs w:val="0"/>
        <w:i w:val="0"/>
        <w:iCs w:val="0"/>
        <w:spacing w:val="0"/>
        <w:w w:val="100"/>
        <w:sz w:val="16"/>
        <w:szCs w:val="16"/>
        <w:vertAlign w:val="subscript"/>
        <w:lang w:val="uk-UA" w:eastAsia="en-US" w:bidi="ar-SA"/>
      </w:rPr>
    </w:lvl>
    <w:lvl w:ilvl="2" w:tplc="EB2C8696">
      <w:numFmt w:val="bullet"/>
      <w:lvlText w:val="•"/>
      <w:lvlJc w:val="left"/>
      <w:pPr>
        <w:ind w:left="1474" w:hanging="341"/>
      </w:pPr>
      <w:rPr>
        <w:rFonts w:hint="default"/>
        <w:lang w:val="uk-UA" w:eastAsia="en-US" w:bidi="ar-SA"/>
      </w:rPr>
    </w:lvl>
    <w:lvl w:ilvl="3" w:tplc="C47ECDC4">
      <w:numFmt w:val="bullet"/>
      <w:lvlText w:val="•"/>
      <w:lvlJc w:val="left"/>
      <w:pPr>
        <w:ind w:left="1949" w:hanging="341"/>
      </w:pPr>
      <w:rPr>
        <w:rFonts w:hint="default"/>
        <w:lang w:val="uk-UA" w:eastAsia="en-US" w:bidi="ar-SA"/>
      </w:rPr>
    </w:lvl>
    <w:lvl w:ilvl="4" w:tplc="5DA023D4">
      <w:numFmt w:val="bullet"/>
      <w:lvlText w:val="•"/>
      <w:lvlJc w:val="left"/>
      <w:pPr>
        <w:ind w:left="2424" w:hanging="341"/>
      </w:pPr>
      <w:rPr>
        <w:rFonts w:hint="default"/>
        <w:lang w:val="uk-UA" w:eastAsia="en-US" w:bidi="ar-SA"/>
      </w:rPr>
    </w:lvl>
    <w:lvl w:ilvl="5" w:tplc="F52AD8D2">
      <w:numFmt w:val="bullet"/>
      <w:lvlText w:val="•"/>
      <w:lvlJc w:val="left"/>
      <w:pPr>
        <w:ind w:left="2899" w:hanging="341"/>
      </w:pPr>
      <w:rPr>
        <w:rFonts w:hint="default"/>
        <w:lang w:val="uk-UA" w:eastAsia="en-US" w:bidi="ar-SA"/>
      </w:rPr>
    </w:lvl>
    <w:lvl w:ilvl="6" w:tplc="809C463C">
      <w:numFmt w:val="bullet"/>
      <w:lvlText w:val="•"/>
      <w:lvlJc w:val="left"/>
      <w:pPr>
        <w:ind w:left="3374" w:hanging="341"/>
      </w:pPr>
      <w:rPr>
        <w:rFonts w:hint="default"/>
        <w:lang w:val="uk-UA" w:eastAsia="en-US" w:bidi="ar-SA"/>
      </w:rPr>
    </w:lvl>
    <w:lvl w:ilvl="7" w:tplc="01EAA684">
      <w:numFmt w:val="bullet"/>
      <w:lvlText w:val="•"/>
      <w:lvlJc w:val="left"/>
      <w:pPr>
        <w:ind w:left="3849" w:hanging="341"/>
      </w:pPr>
      <w:rPr>
        <w:rFonts w:hint="default"/>
        <w:lang w:val="uk-UA" w:eastAsia="en-US" w:bidi="ar-SA"/>
      </w:rPr>
    </w:lvl>
    <w:lvl w:ilvl="8" w:tplc="81DAE82E">
      <w:numFmt w:val="bullet"/>
      <w:lvlText w:val="•"/>
      <w:lvlJc w:val="left"/>
      <w:pPr>
        <w:ind w:left="4323" w:hanging="341"/>
      </w:pPr>
      <w:rPr>
        <w:rFonts w:hint="default"/>
        <w:lang w:val="uk-UA" w:eastAsia="en-US" w:bidi="ar-SA"/>
      </w:rPr>
    </w:lvl>
  </w:abstractNum>
  <w:abstractNum w:abstractNumId="22" w15:restartNumberingAfterBreak="0">
    <w:nsid w:val="3A00461D"/>
    <w:multiLevelType w:val="hybridMultilevel"/>
    <w:tmpl w:val="FDE03B66"/>
    <w:lvl w:ilvl="0" w:tplc="DC6CB9CA">
      <w:numFmt w:val="bullet"/>
      <w:lvlText w:val="-"/>
      <w:lvlJc w:val="left"/>
      <w:pPr>
        <w:ind w:left="352" w:hanging="341"/>
      </w:pPr>
      <w:rPr>
        <w:rFonts w:ascii="Cambria" w:eastAsia="Cambria" w:hAnsi="Cambria" w:cs="Cambria" w:hint="default"/>
        <w:b w:val="0"/>
        <w:bCs w:val="0"/>
        <w:i w:val="0"/>
        <w:iCs w:val="0"/>
        <w:spacing w:val="0"/>
        <w:w w:val="100"/>
        <w:sz w:val="22"/>
        <w:szCs w:val="22"/>
        <w:lang w:val="uk-UA" w:eastAsia="en-US" w:bidi="ar-SA"/>
      </w:rPr>
    </w:lvl>
    <w:lvl w:ilvl="1" w:tplc="DC6CB9CA">
      <w:numFmt w:val="bullet"/>
      <w:lvlText w:val="-"/>
      <w:lvlJc w:val="left"/>
      <w:pPr>
        <w:ind w:left="991" w:hanging="341"/>
      </w:pPr>
      <w:rPr>
        <w:rFonts w:ascii="Cambria" w:eastAsia="Cambria" w:hAnsi="Cambria" w:cs="Cambria" w:hint="default"/>
        <w:b w:val="0"/>
        <w:bCs w:val="0"/>
        <w:i w:val="0"/>
        <w:iCs w:val="0"/>
        <w:spacing w:val="0"/>
        <w:w w:val="100"/>
        <w:sz w:val="22"/>
        <w:szCs w:val="22"/>
        <w:lang w:val="uk-UA" w:eastAsia="en-US" w:bidi="ar-SA"/>
      </w:rPr>
    </w:lvl>
    <w:lvl w:ilvl="2" w:tplc="F150190E">
      <w:numFmt w:val="bullet"/>
      <w:lvlText w:val="•"/>
      <w:lvlJc w:val="left"/>
      <w:pPr>
        <w:ind w:left="883" w:hanging="341"/>
      </w:pPr>
      <w:rPr>
        <w:rFonts w:hint="default"/>
        <w:lang w:val="uk-UA" w:eastAsia="en-US" w:bidi="ar-SA"/>
      </w:rPr>
    </w:lvl>
    <w:lvl w:ilvl="3" w:tplc="9C4C9A36">
      <w:numFmt w:val="bullet"/>
      <w:lvlText w:val="•"/>
      <w:lvlJc w:val="left"/>
      <w:pPr>
        <w:ind w:left="767" w:hanging="341"/>
      </w:pPr>
      <w:rPr>
        <w:rFonts w:hint="default"/>
        <w:lang w:val="uk-UA" w:eastAsia="en-US" w:bidi="ar-SA"/>
      </w:rPr>
    </w:lvl>
    <w:lvl w:ilvl="4" w:tplc="6ECAAFE6">
      <w:numFmt w:val="bullet"/>
      <w:lvlText w:val="•"/>
      <w:lvlJc w:val="left"/>
      <w:pPr>
        <w:ind w:left="651" w:hanging="341"/>
      </w:pPr>
      <w:rPr>
        <w:rFonts w:hint="default"/>
        <w:lang w:val="uk-UA" w:eastAsia="en-US" w:bidi="ar-SA"/>
      </w:rPr>
    </w:lvl>
    <w:lvl w:ilvl="5" w:tplc="80DE263C">
      <w:numFmt w:val="bullet"/>
      <w:lvlText w:val="•"/>
      <w:lvlJc w:val="left"/>
      <w:pPr>
        <w:ind w:left="535" w:hanging="341"/>
      </w:pPr>
      <w:rPr>
        <w:rFonts w:hint="default"/>
        <w:lang w:val="uk-UA" w:eastAsia="en-US" w:bidi="ar-SA"/>
      </w:rPr>
    </w:lvl>
    <w:lvl w:ilvl="6" w:tplc="0FA46602">
      <w:numFmt w:val="bullet"/>
      <w:lvlText w:val="•"/>
      <w:lvlJc w:val="left"/>
      <w:pPr>
        <w:ind w:left="419" w:hanging="341"/>
      </w:pPr>
      <w:rPr>
        <w:rFonts w:hint="default"/>
        <w:lang w:val="uk-UA" w:eastAsia="en-US" w:bidi="ar-SA"/>
      </w:rPr>
    </w:lvl>
    <w:lvl w:ilvl="7" w:tplc="D66EDBFC">
      <w:numFmt w:val="bullet"/>
      <w:lvlText w:val="•"/>
      <w:lvlJc w:val="left"/>
      <w:pPr>
        <w:ind w:left="303" w:hanging="341"/>
      </w:pPr>
      <w:rPr>
        <w:rFonts w:hint="default"/>
        <w:lang w:val="uk-UA" w:eastAsia="en-US" w:bidi="ar-SA"/>
      </w:rPr>
    </w:lvl>
    <w:lvl w:ilvl="8" w:tplc="EBD26268">
      <w:numFmt w:val="bullet"/>
      <w:lvlText w:val="•"/>
      <w:lvlJc w:val="left"/>
      <w:pPr>
        <w:ind w:left="187" w:hanging="341"/>
      </w:pPr>
      <w:rPr>
        <w:rFonts w:hint="default"/>
        <w:lang w:val="uk-UA" w:eastAsia="en-US" w:bidi="ar-SA"/>
      </w:rPr>
    </w:lvl>
  </w:abstractNum>
  <w:abstractNum w:abstractNumId="23" w15:restartNumberingAfterBreak="0">
    <w:nsid w:val="3AD66F30"/>
    <w:multiLevelType w:val="hybridMultilevel"/>
    <w:tmpl w:val="02222FEC"/>
    <w:lvl w:ilvl="0" w:tplc="DC6CB9CA">
      <w:numFmt w:val="bullet"/>
      <w:lvlText w:val="-"/>
      <w:lvlJc w:val="left"/>
      <w:pPr>
        <w:ind w:left="355" w:hanging="341"/>
      </w:pPr>
      <w:rPr>
        <w:rFonts w:ascii="Cambria" w:eastAsia="Cambria" w:hAnsi="Cambria" w:cs="Cambria" w:hint="default"/>
        <w:b w:val="0"/>
        <w:bCs w:val="0"/>
        <w:i w:val="0"/>
        <w:iCs w:val="0"/>
        <w:spacing w:val="0"/>
        <w:w w:val="100"/>
        <w:sz w:val="22"/>
        <w:szCs w:val="22"/>
        <w:lang w:val="uk-UA" w:eastAsia="en-US" w:bidi="ar-SA"/>
      </w:rPr>
    </w:lvl>
    <w:lvl w:ilvl="1" w:tplc="435ECD6C">
      <w:numFmt w:val="bullet"/>
      <w:lvlText w:val="•"/>
      <w:lvlJc w:val="left"/>
      <w:pPr>
        <w:ind w:left="884" w:hanging="341"/>
      </w:pPr>
      <w:rPr>
        <w:rFonts w:hint="default"/>
        <w:lang w:val="uk-UA" w:eastAsia="en-US" w:bidi="ar-SA"/>
      </w:rPr>
    </w:lvl>
    <w:lvl w:ilvl="2" w:tplc="2FCE5688">
      <w:numFmt w:val="bullet"/>
      <w:lvlText w:val="•"/>
      <w:lvlJc w:val="left"/>
      <w:pPr>
        <w:ind w:left="1408" w:hanging="341"/>
      </w:pPr>
      <w:rPr>
        <w:rFonts w:hint="default"/>
        <w:lang w:val="uk-UA" w:eastAsia="en-US" w:bidi="ar-SA"/>
      </w:rPr>
    </w:lvl>
    <w:lvl w:ilvl="3" w:tplc="3634F37E">
      <w:numFmt w:val="bullet"/>
      <w:lvlText w:val="•"/>
      <w:lvlJc w:val="left"/>
      <w:pPr>
        <w:ind w:left="1932" w:hanging="341"/>
      </w:pPr>
      <w:rPr>
        <w:rFonts w:hint="default"/>
        <w:lang w:val="uk-UA" w:eastAsia="en-US" w:bidi="ar-SA"/>
      </w:rPr>
    </w:lvl>
    <w:lvl w:ilvl="4" w:tplc="BA62E616">
      <w:numFmt w:val="bullet"/>
      <w:lvlText w:val="•"/>
      <w:lvlJc w:val="left"/>
      <w:pPr>
        <w:ind w:left="2456" w:hanging="341"/>
      </w:pPr>
      <w:rPr>
        <w:rFonts w:hint="default"/>
        <w:lang w:val="uk-UA" w:eastAsia="en-US" w:bidi="ar-SA"/>
      </w:rPr>
    </w:lvl>
    <w:lvl w:ilvl="5" w:tplc="7D267CC4">
      <w:numFmt w:val="bullet"/>
      <w:lvlText w:val="•"/>
      <w:lvlJc w:val="left"/>
      <w:pPr>
        <w:ind w:left="2980" w:hanging="341"/>
      </w:pPr>
      <w:rPr>
        <w:rFonts w:hint="default"/>
        <w:lang w:val="uk-UA" w:eastAsia="en-US" w:bidi="ar-SA"/>
      </w:rPr>
    </w:lvl>
    <w:lvl w:ilvl="6" w:tplc="F46449F6">
      <w:numFmt w:val="bullet"/>
      <w:lvlText w:val="•"/>
      <w:lvlJc w:val="left"/>
      <w:pPr>
        <w:ind w:left="3504" w:hanging="341"/>
      </w:pPr>
      <w:rPr>
        <w:rFonts w:hint="default"/>
        <w:lang w:val="uk-UA" w:eastAsia="en-US" w:bidi="ar-SA"/>
      </w:rPr>
    </w:lvl>
    <w:lvl w:ilvl="7" w:tplc="F2E28916">
      <w:numFmt w:val="bullet"/>
      <w:lvlText w:val="•"/>
      <w:lvlJc w:val="left"/>
      <w:pPr>
        <w:ind w:left="4028" w:hanging="341"/>
      </w:pPr>
      <w:rPr>
        <w:rFonts w:hint="default"/>
        <w:lang w:val="uk-UA" w:eastAsia="en-US" w:bidi="ar-SA"/>
      </w:rPr>
    </w:lvl>
    <w:lvl w:ilvl="8" w:tplc="AA6C5FB2">
      <w:numFmt w:val="bullet"/>
      <w:lvlText w:val="•"/>
      <w:lvlJc w:val="left"/>
      <w:pPr>
        <w:ind w:left="4552" w:hanging="341"/>
      </w:pPr>
      <w:rPr>
        <w:rFonts w:hint="default"/>
        <w:lang w:val="uk-UA" w:eastAsia="en-US" w:bidi="ar-SA"/>
      </w:rPr>
    </w:lvl>
  </w:abstractNum>
  <w:abstractNum w:abstractNumId="24" w15:restartNumberingAfterBreak="0">
    <w:nsid w:val="3C0A0499"/>
    <w:multiLevelType w:val="hybridMultilevel"/>
    <w:tmpl w:val="5ED6B0E0"/>
    <w:lvl w:ilvl="0" w:tplc="DC6CB9CA">
      <w:numFmt w:val="bullet"/>
      <w:lvlText w:val="-"/>
      <w:lvlJc w:val="left"/>
      <w:pPr>
        <w:ind w:left="354" w:hanging="341"/>
      </w:pPr>
      <w:rPr>
        <w:rFonts w:ascii="Cambria" w:eastAsia="Cambria" w:hAnsi="Cambria" w:cs="Cambria" w:hint="default"/>
        <w:b w:val="0"/>
        <w:bCs w:val="0"/>
        <w:i w:val="0"/>
        <w:iCs w:val="0"/>
        <w:spacing w:val="0"/>
        <w:w w:val="100"/>
        <w:sz w:val="22"/>
        <w:szCs w:val="22"/>
        <w:lang w:val="uk-UA" w:eastAsia="en-US" w:bidi="ar-SA"/>
      </w:rPr>
    </w:lvl>
    <w:lvl w:ilvl="1" w:tplc="DC6CB9CA">
      <w:numFmt w:val="bullet"/>
      <w:lvlText w:val="-"/>
      <w:lvlJc w:val="left"/>
      <w:pPr>
        <w:ind w:left="595" w:hanging="341"/>
      </w:pPr>
      <w:rPr>
        <w:rFonts w:ascii="Cambria" w:eastAsia="Cambria" w:hAnsi="Cambria" w:cs="Cambria" w:hint="default"/>
        <w:b w:val="0"/>
        <w:bCs w:val="0"/>
        <w:i w:val="0"/>
        <w:iCs w:val="0"/>
        <w:spacing w:val="0"/>
        <w:w w:val="100"/>
        <w:sz w:val="22"/>
        <w:szCs w:val="22"/>
        <w:lang w:val="uk-UA" w:eastAsia="en-US" w:bidi="ar-SA"/>
      </w:rPr>
    </w:lvl>
    <w:lvl w:ilvl="2" w:tplc="4AFAE33C">
      <w:numFmt w:val="bullet"/>
      <w:lvlText w:val="•"/>
      <w:lvlJc w:val="left"/>
      <w:pPr>
        <w:ind w:left="484" w:hanging="341"/>
      </w:pPr>
      <w:rPr>
        <w:rFonts w:hint="default"/>
        <w:lang w:val="uk-UA" w:eastAsia="en-US" w:bidi="ar-SA"/>
      </w:rPr>
    </w:lvl>
    <w:lvl w:ilvl="3" w:tplc="1140037A">
      <w:numFmt w:val="bullet"/>
      <w:lvlText w:val="•"/>
      <w:lvlJc w:val="left"/>
      <w:pPr>
        <w:ind w:left="369" w:hanging="341"/>
      </w:pPr>
      <w:rPr>
        <w:rFonts w:hint="default"/>
        <w:lang w:val="uk-UA" w:eastAsia="en-US" w:bidi="ar-SA"/>
      </w:rPr>
    </w:lvl>
    <w:lvl w:ilvl="4" w:tplc="BD26F14C">
      <w:numFmt w:val="bullet"/>
      <w:lvlText w:val="•"/>
      <w:lvlJc w:val="left"/>
      <w:pPr>
        <w:ind w:left="254" w:hanging="341"/>
      </w:pPr>
      <w:rPr>
        <w:rFonts w:hint="default"/>
        <w:lang w:val="uk-UA" w:eastAsia="en-US" w:bidi="ar-SA"/>
      </w:rPr>
    </w:lvl>
    <w:lvl w:ilvl="5" w:tplc="B72EFF1A">
      <w:numFmt w:val="bullet"/>
      <w:lvlText w:val="•"/>
      <w:lvlJc w:val="left"/>
      <w:pPr>
        <w:ind w:left="138" w:hanging="341"/>
      </w:pPr>
      <w:rPr>
        <w:rFonts w:hint="default"/>
        <w:lang w:val="uk-UA" w:eastAsia="en-US" w:bidi="ar-SA"/>
      </w:rPr>
    </w:lvl>
    <w:lvl w:ilvl="6" w:tplc="3C4C8F88">
      <w:numFmt w:val="bullet"/>
      <w:lvlText w:val="•"/>
      <w:lvlJc w:val="left"/>
      <w:pPr>
        <w:ind w:left="23" w:hanging="341"/>
      </w:pPr>
      <w:rPr>
        <w:rFonts w:hint="default"/>
        <w:lang w:val="uk-UA" w:eastAsia="en-US" w:bidi="ar-SA"/>
      </w:rPr>
    </w:lvl>
    <w:lvl w:ilvl="7" w:tplc="BE708690">
      <w:numFmt w:val="bullet"/>
      <w:lvlText w:val="•"/>
      <w:lvlJc w:val="left"/>
      <w:pPr>
        <w:ind w:left="-92" w:hanging="341"/>
      </w:pPr>
      <w:rPr>
        <w:rFonts w:hint="default"/>
        <w:lang w:val="uk-UA" w:eastAsia="en-US" w:bidi="ar-SA"/>
      </w:rPr>
    </w:lvl>
    <w:lvl w:ilvl="8" w:tplc="CEEA892E">
      <w:numFmt w:val="bullet"/>
      <w:lvlText w:val="•"/>
      <w:lvlJc w:val="left"/>
      <w:pPr>
        <w:ind w:left="-208" w:hanging="341"/>
      </w:pPr>
      <w:rPr>
        <w:rFonts w:hint="default"/>
        <w:lang w:val="uk-UA" w:eastAsia="en-US" w:bidi="ar-SA"/>
      </w:rPr>
    </w:lvl>
  </w:abstractNum>
  <w:abstractNum w:abstractNumId="25" w15:restartNumberingAfterBreak="0">
    <w:nsid w:val="3CEE3A09"/>
    <w:multiLevelType w:val="hybridMultilevel"/>
    <w:tmpl w:val="4DBCB1FA"/>
    <w:lvl w:ilvl="0" w:tplc="DC6CB9CA">
      <w:numFmt w:val="bullet"/>
      <w:lvlText w:val="-"/>
      <w:lvlJc w:val="left"/>
      <w:pPr>
        <w:ind w:left="355" w:hanging="341"/>
      </w:pPr>
      <w:rPr>
        <w:rFonts w:ascii="Cambria" w:eastAsia="Cambria" w:hAnsi="Cambria" w:cs="Cambria" w:hint="default"/>
        <w:b w:val="0"/>
        <w:bCs w:val="0"/>
        <w:i w:val="0"/>
        <w:iCs w:val="0"/>
        <w:spacing w:val="0"/>
        <w:w w:val="100"/>
        <w:sz w:val="22"/>
        <w:szCs w:val="22"/>
        <w:lang w:val="uk-UA" w:eastAsia="en-US" w:bidi="ar-SA"/>
      </w:rPr>
    </w:lvl>
    <w:lvl w:ilvl="1" w:tplc="DC6CB9CA">
      <w:numFmt w:val="bullet"/>
      <w:lvlText w:val="-"/>
      <w:lvlJc w:val="left"/>
      <w:pPr>
        <w:ind w:left="595" w:hanging="341"/>
      </w:pPr>
      <w:rPr>
        <w:rFonts w:ascii="Cambria" w:eastAsia="Cambria" w:hAnsi="Cambria" w:cs="Cambria" w:hint="default"/>
        <w:b w:val="0"/>
        <w:bCs w:val="0"/>
        <w:i w:val="0"/>
        <w:iCs w:val="0"/>
        <w:spacing w:val="0"/>
        <w:w w:val="100"/>
        <w:sz w:val="22"/>
        <w:szCs w:val="22"/>
        <w:lang w:val="uk-UA" w:eastAsia="en-US" w:bidi="ar-SA"/>
      </w:rPr>
    </w:lvl>
    <w:lvl w:ilvl="2" w:tplc="CB340100">
      <w:numFmt w:val="bullet"/>
      <w:lvlText w:val="•"/>
      <w:lvlJc w:val="left"/>
      <w:pPr>
        <w:ind w:left="1000" w:hanging="341"/>
      </w:pPr>
      <w:rPr>
        <w:rFonts w:hint="default"/>
        <w:lang w:val="uk-UA" w:eastAsia="en-US" w:bidi="ar-SA"/>
      </w:rPr>
    </w:lvl>
    <w:lvl w:ilvl="3" w:tplc="C8AE3FFC">
      <w:numFmt w:val="bullet"/>
      <w:lvlText w:val="•"/>
      <w:lvlJc w:val="left"/>
      <w:pPr>
        <w:ind w:left="869" w:hanging="341"/>
      </w:pPr>
      <w:rPr>
        <w:rFonts w:hint="default"/>
        <w:lang w:val="uk-UA" w:eastAsia="en-US" w:bidi="ar-SA"/>
      </w:rPr>
    </w:lvl>
    <w:lvl w:ilvl="4" w:tplc="13AAE544">
      <w:numFmt w:val="bullet"/>
      <w:lvlText w:val="•"/>
      <w:lvlJc w:val="left"/>
      <w:pPr>
        <w:ind w:left="739" w:hanging="341"/>
      </w:pPr>
      <w:rPr>
        <w:rFonts w:hint="default"/>
        <w:lang w:val="uk-UA" w:eastAsia="en-US" w:bidi="ar-SA"/>
      </w:rPr>
    </w:lvl>
    <w:lvl w:ilvl="5" w:tplc="1F348F04">
      <w:numFmt w:val="bullet"/>
      <w:lvlText w:val="•"/>
      <w:lvlJc w:val="left"/>
      <w:pPr>
        <w:ind w:left="609" w:hanging="341"/>
      </w:pPr>
      <w:rPr>
        <w:rFonts w:hint="default"/>
        <w:lang w:val="uk-UA" w:eastAsia="en-US" w:bidi="ar-SA"/>
      </w:rPr>
    </w:lvl>
    <w:lvl w:ilvl="6" w:tplc="01EAC6F8">
      <w:numFmt w:val="bullet"/>
      <w:lvlText w:val="•"/>
      <w:lvlJc w:val="left"/>
      <w:pPr>
        <w:ind w:left="479" w:hanging="341"/>
      </w:pPr>
      <w:rPr>
        <w:rFonts w:hint="default"/>
        <w:lang w:val="uk-UA" w:eastAsia="en-US" w:bidi="ar-SA"/>
      </w:rPr>
    </w:lvl>
    <w:lvl w:ilvl="7" w:tplc="CB5C1736">
      <w:numFmt w:val="bullet"/>
      <w:lvlText w:val="•"/>
      <w:lvlJc w:val="left"/>
      <w:pPr>
        <w:ind w:left="349" w:hanging="341"/>
      </w:pPr>
      <w:rPr>
        <w:rFonts w:hint="default"/>
        <w:lang w:val="uk-UA" w:eastAsia="en-US" w:bidi="ar-SA"/>
      </w:rPr>
    </w:lvl>
    <w:lvl w:ilvl="8" w:tplc="EB325F7C">
      <w:numFmt w:val="bullet"/>
      <w:lvlText w:val="•"/>
      <w:lvlJc w:val="left"/>
      <w:pPr>
        <w:ind w:left="219" w:hanging="341"/>
      </w:pPr>
      <w:rPr>
        <w:rFonts w:hint="default"/>
        <w:lang w:val="uk-UA" w:eastAsia="en-US" w:bidi="ar-SA"/>
      </w:rPr>
    </w:lvl>
  </w:abstractNum>
  <w:abstractNum w:abstractNumId="26" w15:restartNumberingAfterBreak="0">
    <w:nsid w:val="3E1B5FA9"/>
    <w:multiLevelType w:val="hybridMultilevel"/>
    <w:tmpl w:val="6C58D5AA"/>
    <w:lvl w:ilvl="0" w:tplc="DC6CB9CA">
      <w:numFmt w:val="bullet"/>
      <w:lvlText w:val="-"/>
      <w:lvlJc w:val="left"/>
      <w:pPr>
        <w:ind w:left="595" w:hanging="341"/>
      </w:pPr>
      <w:rPr>
        <w:rFonts w:ascii="Cambria" w:eastAsia="Cambria" w:hAnsi="Cambria" w:cs="Cambria" w:hint="default"/>
        <w:b w:val="0"/>
        <w:bCs w:val="0"/>
        <w:i w:val="0"/>
        <w:iCs w:val="0"/>
        <w:spacing w:val="0"/>
        <w:w w:val="100"/>
        <w:sz w:val="22"/>
        <w:szCs w:val="22"/>
        <w:lang w:val="uk-UA" w:eastAsia="en-US" w:bidi="ar-SA"/>
      </w:rPr>
    </w:lvl>
    <w:lvl w:ilvl="1" w:tplc="A7726242">
      <w:numFmt w:val="bullet"/>
      <w:lvlText w:val="•"/>
      <w:lvlJc w:val="left"/>
      <w:pPr>
        <w:ind w:left="1024" w:hanging="341"/>
      </w:pPr>
      <w:rPr>
        <w:rFonts w:hint="default"/>
        <w:lang w:val="uk-UA" w:eastAsia="en-US" w:bidi="ar-SA"/>
      </w:rPr>
    </w:lvl>
    <w:lvl w:ilvl="2" w:tplc="069CEF54">
      <w:numFmt w:val="bullet"/>
      <w:lvlText w:val="•"/>
      <w:lvlJc w:val="left"/>
      <w:pPr>
        <w:ind w:left="1449" w:hanging="341"/>
      </w:pPr>
      <w:rPr>
        <w:rFonts w:hint="default"/>
        <w:lang w:val="uk-UA" w:eastAsia="en-US" w:bidi="ar-SA"/>
      </w:rPr>
    </w:lvl>
    <w:lvl w:ilvl="3" w:tplc="2EC47CE0">
      <w:numFmt w:val="bullet"/>
      <w:lvlText w:val="•"/>
      <w:lvlJc w:val="left"/>
      <w:pPr>
        <w:ind w:left="1874" w:hanging="341"/>
      </w:pPr>
      <w:rPr>
        <w:rFonts w:hint="default"/>
        <w:lang w:val="uk-UA" w:eastAsia="en-US" w:bidi="ar-SA"/>
      </w:rPr>
    </w:lvl>
    <w:lvl w:ilvl="4" w:tplc="FDB80FB6">
      <w:numFmt w:val="bullet"/>
      <w:lvlText w:val="•"/>
      <w:lvlJc w:val="left"/>
      <w:pPr>
        <w:ind w:left="2299" w:hanging="341"/>
      </w:pPr>
      <w:rPr>
        <w:rFonts w:hint="default"/>
        <w:lang w:val="uk-UA" w:eastAsia="en-US" w:bidi="ar-SA"/>
      </w:rPr>
    </w:lvl>
    <w:lvl w:ilvl="5" w:tplc="22C2E08E">
      <w:numFmt w:val="bullet"/>
      <w:lvlText w:val="•"/>
      <w:lvlJc w:val="left"/>
      <w:pPr>
        <w:ind w:left="2724" w:hanging="341"/>
      </w:pPr>
      <w:rPr>
        <w:rFonts w:hint="default"/>
        <w:lang w:val="uk-UA" w:eastAsia="en-US" w:bidi="ar-SA"/>
      </w:rPr>
    </w:lvl>
    <w:lvl w:ilvl="6" w:tplc="305A3A62">
      <w:numFmt w:val="bullet"/>
      <w:lvlText w:val="•"/>
      <w:lvlJc w:val="left"/>
      <w:pPr>
        <w:ind w:left="3149" w:hanging="341"/>
      </w:pPr>
      <w:rPr>
        <w:rFonts w:hint="default"/>
        <w:lang w:val="uk-UA" w:eastAsia="en-US" w:bidi="ar-SA"/>
      </w:rPr>
    </w:lvl>
    <w:lvl w:ilvl="7" w:tplc="10B8D406">
      <w:numFmt w:val="bullet"/>
      <w:lvlText w:val="•"/>
      <w:lvlJc w:val="left"/>
      <w:pPr>
        <w:ind w:left="3574" w:hanging="341"/>
      </w:pPr>
      <w:rPr>
        <w:rFonts w:hint="default"/>
        <w:lang w:val="uk-UA" w:eastAsia="en-US" w:bidi="ar-SA"/>
      </w:rPr>
    </w:lvl>
    <w:lvl w:ilvl="8" w:tplc="A834488E">
      <w:numFmt w:val="bullet"/>
      <w:lvlText w:val="•"/>
      <w:lvlJc w:val="left"/>
      <w:pPr>
        <w:ind w:left="3998" w:hanging="341"/>
      </w:pPr>
      <w:rPr>
        <w:rFonts w:hint="default"/>
        <w:lang w:val="uk-UA" w:eastAsia="en-US" w:bidi="ar-SA"/>
      </w:rPr>
    </w:lvl>
  </w:abstractNum>
  <w:abstractNum w:abstractNumId="27" w15:restartNumberingAfterBreak="0">
    <w:nsid w:val="3F2079EB"/>
    <w:multiLevelType w:val="hybridMultilevel"/>
    <w:tmpl w:val="06DC7878"/>
    <w:lvl w:ilvl="0" w:tplc="31E80DEE">
      <w:numFmt w:val="bullet"/>
      <w:lvlText w:val="-"/>
      <w:lvlJc w:val="left"/>
      <w:pPr>
        <w:ind w:left="86" w:hanging="87"/>
      </w:pPr>
      <w:rPr>
        <w:rFonts w:ascii="Times New Roman" w:eastAsia="Times New Roman" w:hAnsi="Times New Roman" w:cs="Times New Roman" w:hint="default"/>
        <w:b w:val="0"/>
        <w:bCs w:val="0"/>
        <w:i w:val="0"/>
        <w:iCs w:val="0"/>
        <w:spacing w:val="0"/>
        <w:w w:val="98"/>
        <w:sz w:val="15"/>
        <w:szCs w:val="15"/>
        <w:lang w:val="uk-UA" w:eastAsia="en-US" w:bidi="ar-SA"/>
      </w:rPr>
    </w:lvl>
    <w:lvl w:ilvl="1" w:tplc="C7885C90">
      <w:numFmt w:val="bullet"/>
      <w:lvlText w:val="•"/>
      <w:lvlJc w:val="left"/>
      <w:pPr>
        <w:ind w:left="157" w:hanging="87"/>
      </w:pPr>
      <w:rPr>
        <w:rFonts w:hint="default"/>
        <w:lang w:val="uk-UA" w:eastAsia="en-US" w:bidi="ar-SA"/>
      </w:rPr>
    </w:lvl>
    <w:lvl w:ilvl="2" w:tplc="5BAC5C20">
      <w:numFmt w:val="bullet"/>
      <w:lvlText w:val="•"/>
      <w:lvlJc w:val="left"/>
      <w:pPr>
        <w:ind w:left="235" w:hanging="87"/>
      </w:pPr>
      <w:rPr>
        <w:rFonts w:hint="default"/>
        <w:lang w:val="uk-UA" w:eastAsia="en-US" w:bidi="ar-SA"/>
      </w:rPr>
    </w:lvl>
    <w:lvl w:ilvl="3" w:tplc="9FECC5E8">
      <w:numFmt w:val="bullet"/>
      <w:lvlText w:val="•"/>
      <w:lvlJc w:val="left"/>
      <w:pPr>
        <w:ind w:left="313" w:hanging="87"/>
      </w:pPr>
      <w:rPr>
        <w:rFonts w:hint="default"/>
        <w:lang w:val="uk-UA" w:eastAsia="en-US" w:bidi="ar-SA"/>
      </w:rPr>
    </w:lvl>
    <w:lvl w:ilvl="4" w:tplc="FC18D5B4">
      <w:numFmt w:val="bullet"/>
      <w:lvlText w:val="•"/>
      <w:lvlJc w:val="left"/>
      <w:pPr>
        <w:ind w:left="390" w:hanging="87"/>
      </w:pPr>
      <w:rPr>
        <w:rFonts w:hint="default"/>
        <w:lang w:val="uk-UA" w:eastAsia="en-US" w:bidi="ar-SA"/>
      </w:rPr>
    </w:lvl>
    <w:lvl w:ilvl="5" w:tplc="069020D2">
      <w:numFmt w:val="bullet"/>
      <w:lvlText w:val="•"/>
      <w:lvlJc w:val="left"/>
      <w:pPr>
        <w:ind w:left="468" w:hanging="87"/>
      </w:pPr>
      <w:rPr>
        <w:rFonts w:hint="default"/>
        <w:lang w:val="uk-UA" w:eastAsia="en-US" w:bidi="ar-SA"/>
      </w:rPr>
    </w:lvl>
    <w:lvl w:ilvl="6" w:tplc="9A1A4BD4">
      <w:numFmt w:val="bullet"/>
      <w:lvlText w:val="•"/>
      <w:lvlJc w:val="left"/>
      <w:pPr>
        <w:ind w:left="546" w:hanging="87"/>
      </w:pPr>
      <w:rPr>
        <w:rFonts w:hint="default"/>
        <w:lang w:val="uk-UA" w:eastAsia="en-US" w:bidi="ar-SA"/>
      </w:rPr>
    </w:lvl>
    <w:lvl w:ilvl="7" w:tplc="8B20E2FA">
      <w:numFmt w:val="bullet"/>
      <w:lvlText w:val="•"/>
      <w:lvlJc w:val="left"/>
      <w:pPr>
        <w:ind w:left="624" w:hanging="87"/>
      </w:pPr>
      <w:rPr>
        <w:rFonts w:hint="default"/>
        <w:lang w:val="uk-UA" w:eastAsia="en-US" w:bidi="ar-SA"/>
      </w:rPr>
    </w:lvl>
    <w:lvl w:ilvl="8" w:tplc="518E4ABE">
      <w:numFmt w:val="bullet"/>
      <w:lvlText w:val="•"/>
      <w:lvlJc w:val="left"/>
      <w:pPr>
        <w:ind w:left="701" w:hanging="87"/>
      </w:pPr>
      <w:rPr>
        <w:rFonts w:hint="default"/>
        <w:lang w:val="uk-UA" w:eastAsia="en-US" w:bidi="ar-SA"/>
      </w:rPr>
    </w:lvl>
  </w:abstractNum>
  <w:abstractNum w:abstractNumId="28" w15:restartNumberingAfterBreak="0">
    <w:nsid w:val="422A01C7"/>
    <w:multiLevelType w:val="hybridMultilevel"/>
    <w:tmpl w:val="C9ECEC40"/>
    <w:lvl w:ilvl="0" w:tplc="F6FE1A14">
      <w:numFmt w:val="bullet"/>
      <w:lvlText w:val="-"/>
      <w:lvlJc w:val="left"/>
      <w:pPr>
        <w:ind w:left="0" w:hanging="87"/>
      </w:pPr>
      <w:rPr>
        <w:rFonts w:ascii="Times New Roman" w:eastAsia="Times New Roman" w:hAnsi="Times New Roman" w:cs="Times New Roman" w:hint="default"/>
        <w:b w:val="0"/>
        <w:bCs w:val="0"/>
        <w:i w:val="0"/>
        <w:iCs w:val="0"/>
        <w:spacing w:val="0"/>
        <w:w w:val="98"/>
        <w:sz w:val="15"/>
        <w:szCs w:val="15"/>
        <w:lang w:val="uk-UA" w:eastAsia="en-US" w:bidi="ar-SA"/>
      </w:rPr>
    </w:lvl>
    <w:lvl w:ilvl="1" w:tplc="C1FC96AC">
      <w:numFmt w:val="bullet"/>
      <w:lvlText w:val="•"/>
      <w:lvlJc w:val="left"/>
      <w:pPr>
        <w:ind w:left="187" w:hanging="87"/>
      </w:pPr>
      <w:rPr>
        <w:rFonts w:hint="default"/>
        <w:lang w:val="uk-UA" w:eastAsia="en-US" w:bidi="ar-SA"/>
      </w:rPr>
    </w:lvl>
    <w:lvl w:ilvl="2" w:tplc="DBC47DCA">
      <w:numFmt w:val="bullet"/>
      <w:lvlText w:val="•"/>
      <w:lvlJc w:val="left"/>
      <w:pPr>
        <w:ind w:left="374" w:hanging="87"/>
      </w:pPr>
      <w:rPr>
        <w:rFonts w:hint="default"/>
        <w:lang w:val="uk-UA" w:eastAsia="en-US" w:bidi="ar-SA"/>
      </w:rPr>
    </w:lvl>
    <w:lvl w:ilvl="3" w:tplc="19BC89C6">
      <w:numFmt w:val="bullet"/>
      <w:lvlText w:val="•"/>
      <w:lvlJc w:val="left"/>
      <w:pPr>
        <w:ind w:left="562" w:hanging="87"/>
      </w:pPr>
      <w:rPr>
        <w:rFonts w:hint="default"/>
        <w:lang w:val="uk-UA" w:eastAsia="en-US" w:bidi="ar-SA"/>
      </w:rPr>
    </w:lvl>
    <w:lvl w:ilvl="4" w:tplc="0BF07364">
      <w:numFmt w:val="bullet"/>
      <w:lvlText w:val="•"/>
      <w:lvlJc w:val="left"/>
      <w:pPr>
        <w:ind w:left="749" w:hanging="87"/>
      </w:pPr>
      <w:rPr>
        <w:rFonts w:hint="default"/>
        <w:lang w:val="uk-UA" w:eastAsia="en-US" w:bidi="ar-SA"/>
      </w:rPr>
    </w:lvl>
    <w:lvl w:ilvl="5" w:tplc="5DC25A44">
      <w:numFmt w:val="bullet"/>
      <w:lvlText w:val="•"/>
      <w:lvlJc w:val="left"/>
      <w:pPr>
        <w:ind w:left="937" w:hanging="87"/>
      </w:pPr>
      <w:rPr>
        <w:rFonts w:hint="default"/>
        <w:lang w:val="uk-UA" w:eastAsia="en-US" w:bidi="ar-SA"/>
      </w:rPr>
    </w:lvl>
    <w:lvl w:ilvl="6" w:tplc="5204FC8A">
      <w:numFmt w:val="bullet"/>
      <w:lvlText w:val="•"/>
      <w:lvlJc w:val="left"/>
      <w:pPr>
        <w:ind w:left="1124" w:hanging="87"/>
      </w:pPr>
      <w:rPr>
        <w:rFonts w:hint="default"/>
        <w:lang w:val="uk-UA" w:eastAsia="en-US" w:bidi="ar-SA"/>
      </w:rPr>
    </w:lvl>
    <w:lvl w:ilvl="7" w:tplc="F086005C">
      <w:numFmt w:val="bullet"/>
      <w:lvlText w:val="•"/>
      <w:lvlJc w:val="left"/>
      <w:pPr>
        <w:ind w:left="1312" w:hanging="87"/>
      </w:pPr>
      <w:rPr>
        <w:rFonts w:hint="default"/>
        <w:lang w:val="uk-UA" w:eastAsia="en-US" w:bidi="ar-SA"/>
      </w:rPr>
    </w:lvl>
    <w:lvl w:ilvl="8" w:tplc="28E2CB5C">
      <w:numFmt w:val="bullet"/>
      <w:lvlText w:val="•"/>
      <w:lvlJc w:val="left"/>
      <w:pPr>
        <w:ind w:left="1499" w:hanging="87"/>
      </w:pPr>
      <w:rPr>
        <w:rFonts w:hint="default"/>
        <w:lang w:val="uk-UA" w:eastAsia="en-US" w:bidi="ar-SA"/>
      </w:rPr>
    </w:lvl>
  </w:abstractNum>
  <w:abstractNum w:abstractNumId="29" w15:restartNumberingAfterBreak="0">
    <w:nsid w:val="42E74A85"/>
    <w:multiLevelType w:val="hybridMultilevel"/>
    <w:tmpl w:val="82043FEA"/>
    <w:lvl w:ilvl="0" w:tplc="DC6CB9CA">
      <w:numFmt w:val="bullet"/>
      <w:lvlText w:val="-"/>
      <w:lvlJc w:val="left"/>
      <w:pPr>
        <w:ind w:left="992" w:hanging="341"/>
      </w:pPr>
      <w:rPr>
        <w:rFonts w:ascii="Cambria" w:eastAsia="Cambria" w:hAnsi="Cambria" w:cs="Cambria" w:hint="default"/>
        <w:b w:val="0"/>
        <w:bCs w:val="0"/>
        <w:i w:val="0"/>
        <w:iCs w:val="0"/>
        <w:spacing w:val="0"/>
        <w:w w:val="100"/>
        <w:sz w:val="22"/>
        <w:szCs w:val="22"/>
        <w:lang w:val="uk-UA" w:eastAsia="en-US" w:bidi="ar-SA"/>
      </w:rPr>
    </w:lvl>
    <w:lvl w:ilvl="1" w:tplc="7A802546">
      <w:numFmt w:val="bullet"/>
      <w:lvlText w:val="•"/>
      <w:lvlJc w:val="left"/>
      <w:pPr>
        <w:ind w:left="1424" w:hanging="341"/>
      </w:pPr>
      <w:rPr>
        <w:rFonts w:hint="default"/>
        <w:lang w:val="uk-UA" w:eastAsia="en-US" w:bidi="ar-SA"/>
      </w:rPr>
    </w:lvl>
    <w:lvl w:ilvl="2" w:tplc="74182C3C">
      <w:numFmt w:val="bullet"/>
      <w:lvlText w:val="•"/>
      <w:lvlJc w:val="left"/>
      <w:pPr>
        <w:ind w:left="1849" w:hanging="341"/>
      </w:pPr>
      <w:rPr>
        <w:rFonts w:hint="default"/>
        <w:lang w:val="uk-UA" w:eastAsia="en-US" w:bidi="ar-SA"/>
      </w:rPr>
    </w:lvl>
    <w:lvl w:ilvl="3" w:tplc="45C29F1E">
      <w:numFmt w:val="bullet"/>
      <w:lvlText w:val="•"/>
      <w:lvlJc w:val="left"/>
      <w:pPr>
        <w:ind w:left="2274" w:hanging="341"/>
      </w:pPr>
      <w:rPr>
        <w:rFonts w:hint="default"/>
        <w:lang w:val="uk-UA" w:eastAsia="en-US" w:bidi="ar-SA"/>
      </w:rPr>
    </w:lvl>
    <w:lvl w:ilvl="4" w:tplc="C1EAE9A6">
      <w:numFmt w:val="bullet"/>
      <w:lvlText w:val="•"/>
      <w:lvlJc w:val="left"/>
      <w:pPr>
        <w:ind w:left="2699" w:hanging="341"/>
      </w:pPr>
      <w:rPr>
        <w:rFonts w:hint="default"/>
        <w:lang w:val="uk-UA" w:eastAsia="en-US" w:bidi="ar-SA"/>
      </w:rPr>
    </w:lvl>
    <w:lvl w:ilvl="5" w:tplc="059A2516">
      <w:numFmt w:val="bullet"/>
      <w:lvlText w:val="•"/>
      <w:lvlJc w:val="left"/>
      <w:pPr>
        <w:ind w:left="3124" w:hanging="341"/>
      </w:pPr>
      <w:rPr>
        <w:rFonts w:hint="default"/>
        <w:lang w:val="uk-UA" w:eastAsia="en-US" w:bidi="ar-SA"/>
      </w:rPr>
    </w:lvl>
    <w:lvl w:ilvl="6" w:tplc="0EB212B0">
      <w:numFmt w:val="bullet"/>
      <w:lvlText w:val="•"/>
      <w:lvlJc w:val="left"/>
      <w:pPr>
        <w:ind w:left="3549" w:hanging="341"/>
      </w:pPr>
      <w:rPr>
        <w:rFonts w:hint="default"/>
        <w:lang w:val="uk-UA" w:eastAsia="en-US" w:bidi="ar-SA"/>
      </w:rPr>
    </w:lvl>
    <w:lvl w:ilvl="7" w:tplc="70D4D6B0">
      <w:numFmt w:val="bullet"/>
      <w:lvlText w:val="•"/>
      <w:lvlJc w:val="left"/>
      <w:pPr>
        <w:ind w:left="3974" w:hanging="341"/>
      </w:pPr>
      <w:rPr>
        <w:rFonts w:hint="default"/>
        <w:lang w:val="uk-UA" w:eastAsia="en-US" w:bidi="ar-SA"/>
      </w:rPr>
    </w:lvl>
    <w:lvl w:ilvl="8" w:tplc="9668795E">
      <w:numFmt w:val="bullet"/>
      <w:lvlText w:val="•"/>
      <w:lvlJc w:val="left"/>
      <w:pPr>
        <w:ind w:left="4399" w:hanging="341"/>
      </w:pPr>
      <w:rPr>
        <w:rFonts w:hint="default"/>
        <w:lang w:val="uk-UA" w:eastAsia="en-US" w:bidi="ar-SA"/>
      </w:rPr>
    </w:lvl>
  </w:abstractNum>
  <w:abstractNum w:abstractNumId="30" w15:restartNumberingAfterBreak="0">
    <w:nsid w:val="4C064CF1"/>
    <w:multiLevelType w:val="hybridMultilevel"/>
    <w:tmpl w:val="1CE01FE4"/>
    <w:lvl w:ilvl="0" w:tplc="CC5C6BB0">
      <w:numFmt w:val="bullet"/>
      <w:lvlText w:val="-"/>
      <w:lvlJc w:val="left"/>
      <w:pPr>
        <w:ind w:left="128" w:hanging="123"/>
      </w:pPr>
      <w:rPr>
        <w:rFonts w:ascii="Cambria" w:eastAsia="Cambria" w:hAnsi="Cambria" w:cs="Cambria" w:hint="default"/>
        <w:b w:val="0"/>
        <w:bCs w:val="0"/>
        <w:i w:val="0"/>
        <w:iCs w:val="0"/>
        <w:spacing w:val="0"/>
        <w:w w:val="100"/>
        <w:sz w:val="20"/>
        <w:szCs w:val="20"/>
        <w:lang w:val="uk-UA" w:eastAsia="en-US" w:bidi="ar-SA"/>
      </w:rPr>
    </w:lvl>
    <w:lvl w:ilvl="1" w:tplc="9DFC32E2">
      <w:numFmt w:val="bullet"/>
      <w:lvlText w:val="•"/>
      <w:lvlJc w:val="left"/>
      <w:pPr>
        <w:ind w:left="742" w:hanging="123"/>
      </w:pPr>
      <w:rPr>
        <w:rFonts w:hint="default"/>
        <w:lang w:val="uk-UA" w:eastAsia="en-US" w:bidi="ar-SA"/>
      </w:rPr>
    </w:lvl>
    <w:lvl w:ilvl="2" w:tplc="9188BCCE">
      <w:numFmt w:val="bullet"/>
      <w:lvlText w:val="•"/>
      <w:lvlJc w:val="left"/>
      <w:pPr>
        <w:ind w:left="1365" w:hanging="123"/>
      </w:pPr>
      <w:rPr>
        <w:rFonts w:hint="default"/>
        <w:lang w:val="uk-UA" w:eastAsia="en-US" w:bidi="ar-SA"/>
      </w:rPr>
    </w:lvl>
    <w:lvl w:ilvl="3" w:tplc="E2A0CC38">
      <w:numFmt w:val="bullet"/>
      <w:lvlText w:val="•"/>
      <w:lvlJc w:val="left"/>
      <w:pPr>
        <w:ind w:left="1987" w:hanging="123"/>
      </w:pPr>
      <w:rPr>
        <w:rFonts w:hint="default"/>
        <w:lang w:val="uk-UA" w:eastAsia="en-US" w:bidi="ar-SA"/>
      </w:rPr>
    </w:lvl>
    <w:lvl w:ilvl="4" w:tplc="0FEC24B8">
      <w:numFmt w:val="bullet"/>
      <w:lvlText w:val="•"/>
      <w:lvlJc w:val="left"/>
      <w:pPr>
        <w:ind w:left="2610" w:hanging="123"/>
      </w:pPr>
      <w:rPr>
        <w:rFonts w:hint="default"/>
        <w:lang w:val="uk-UA" w:eastAsia="en-US" w:bidi="ar-SA"/>
      </w:rPr>
    </w:lvl>
    <w:lvl w:ilvl="5" w:tplc="0C382F64">
      <w:numFmt w:val="bullet"/>
      <w:lvlText w:val="•"/>
      <w:lvlJc w:val="left"/>
      <w:pPr>
        <w:ind w:left="3232" w:hanging="123"/>
      </w:pPr>
      <w:rPr>
        <w:rFonts w:hint="default"/>
        <w:lang w:val="uk-UA" w:eastAsia="en-US" w:bidi="ar-SA"/>
      </w:rPr>
    </w:lvl>
    <w:lvl w:ilvl="6" w:tplc="723E2050">
      <w:numFmt w:val="bullet"/>
      <w:lvlText w:val="•"/>
      <w:lvlJc w:val="left"/>
      <w:pPr>
        <w:ind w:left="3855" w:hanging="123"/>
      </w:pPr>
      <w:rPr>
        <w:rFonts w:hint="default"/>
        <w:lang w:val="uk-UA" w:eastAsia="en-US" w:bidi="ar-SA"/>
      </w:rPr>
    </w:lvl>
    <w:lvl w:ilvl="7" w:tplc="273EC324">
      <w:numFmt w:val="bullet"/>
      <w:lvlText w:val="•"/>
      <w:lvlJc w:val="left"/>
      <w:pPr>
        <w:ind w:left="4477" w:hanging="123"/>
      </w:pPr>
      <w:rPr>
        <w:rFonts w:hint="default"/>
        <w:lang w:val="uk-UA" w:eastAsia="en-US" w:bidi="ar-SA"/>
      </w:rPr>
    </w:lvl>
    <w:lvl w:ilvl="8" w:tplc="F27410A6">
      <w:numFmt w:val="bullet"/>
      <w:lvlText w:val="•"/>
      <w:lvlJc w:val="left"/>
      <w:pPr>
        <w:ind w:left="5100" w:hanging="123"/>
      </w:pPr>
      <w:rPr>
        <w:rFonts w:hint="default"/>
        <w:lang w:val="uk-UA" w:eastAsia="en-US" w:bidi="ar-SA"/>
      </w:rPr>
    </w:lvl>
  </w:abstractNum>
  <w:abstractNum w:abstractNumId="31" w15:restartNumberingAfterBreak="0">
    <w:nsid w:val="4C506DE9"/>
    <w:multiLevelType w:val="hybridMultilevel"/>
    <w:tmpl w:val="63C610BE"/>
    <w:lvl w:ilvl="0" w:tplc="DC6CB9CA">
      <w:numFmt w:val="bullet"/>
      <w:lvlText w:val="-"/>
      <w:lvlJc w:val="left"/>
      <w:pPr>
        <w:ind w:left="355" w:hanging="341"/>
      </w:pPr>
      <w:rPr>
        <w:rFonts w:ascii="Cambria" w:eastAsia="Cambria" w:hAnsi="Cambria" w:cs="Cambria" w:hint="default"/>
        <w:b w:val="0"/>
        <w:bCs w:val="0"/>
        <w:i w:val="0"/>
        <w:iCs w:val="0"/>
        <w:spacing w:val="0"/>
        <w:w w:val="100"/>
        <w:sz w:val="22"/>
        <w:szCs w:val="22"/>
        <w:lang w:val="uk-UA" w:eastAsia="en-US" w:bidi="ar-SA"/>
      </w:rPr>
    </w:lvl>
    <w:lvl w:ilvl="1" w:tplc="B992C97E">
      <w:numFmt w:val="bullet"/>
      <w:lvlText w:val="•"/>
      <w:lvlJc w:val="left"/>
      <w:pPr>
        <w:ind w:left="884" w:hanging="341"/>
      </w:pPr>
      <w:rPr>
        <w:rFonts w:hint="default"/>
        <w:lang w:val="uk-UA" w:eastAsia="en-US" w:bidi="ar-SA"/>
      </w:rPr>
    </w:lvl>
    <w:lvl w:ilvl="2" w:tplc="6A42D7B2">
      <w:numFmt w:val="bullet"/>
      <w:lvlText w:val="•"/>
      <w:lvlJc w:val="left"/>
      <w:pPr>
        <w:ind w:left="1408" w:hanging="341"/>
      </w:pPr>
      <w:rPr>
        <w:rFonts w:hint="default"/>
        <w:lang w:val="uk-UA" w:eastAsia="en-US" w:bidi="ar-SA"/>
      </w:rPr>
    </w:lvl>
    <w:lvl w:ilvl="3" w:tplc="6A2A6B3C">
      <w:numFmt w:val="bullet"/>
      <w:lvlText w:val="•"/>
      <w:lvlJc w:val="left"/>
      <w:pPr>
        <w:ind w:left="1932" w:hanging="341"/>
      </w:pPr>
      <w:rPr>
        <w:rFonts w:hint="default"/>
        <w:lang w:val="uk-UA" w:eastAsia="en-US" w:bidi="ar-SA"/>
      </w:rPr>
    </w:lvl>
    <w:lvl w:ilvl="4" w:tplc="5D02A120">
      <w:numFmt w:val="bullet"/>
      <w:lvlText w:val="•"/>
      <w:lvlJc w:val="left"/>
      <w:pPr>
        <w:ind w:left="2456" w:hanging="341"/>
      </w:pPr>
      <w:rPr>
        <w:rFonts w:hint="default"/>
        <w:lang w:val="uk-UA" w:eastAsia="en-US" w:bidi="ar-SA"/>
      </w:rPr>
    </w:lvl>
    <w:lvl w:ilvl="5" w:tplc="F3E65928">
      <w:numFmt w:val="bullet"/>
      <w:lvlText w:val="•"/>
      <w:lvlJc w:val="left"/>
      <w:pPr>
        <w:ind w:left="2980" w:hanging="341"/>
      </w:pPr>
      <w:rPr>
        <w:rFonts w:hint="default"/>
        <w:lang w:val="uk-UA" w:eastAsia="en-US" w:bidi="ar-SA"/>
      </w:rPr>
    </w:lvl>
    <w:lvl w:ilvl="6" w:tplc="E9761080">
      <w:numFmt w:val="bullet"/>
      <w:lvlText w:val="•"/>
      <w:lvlJc w:val="left"/>
      <w:pPr>
        <w:ind w:left="3505" w:hanging="341"/>
      </w:pPr>
      <w:rPr>
        <w:rFonts w:hint="default"/>
        <w:lang w:val="uk-UA" w:eastAsia="en-US" w:bidi="ar-SA"/>
      </w:rPr>
    </w:lvl>
    <w:lvl w:ilvl="7" w:tplc="5D1A1954">
      <w:numFmt w:val="bullet"/>
      <w:lvlText w:val="•"/>
      <w:lvlJc w:val="left"/>
      <w:pPr>
        <w:ind w:left="4029" w:hanging="341"/>
      </w:pPr>
      <w:rPr>
        <w:rFonts w:hint="default"/>
        <w:lang w:val="uk-UA" w:eastAsia="en-US" w:bidi="ar-SA"/>
      </w:rPr>
    </w:lvl>
    <w:lvl w:ilvl="8" w:tplc="FDAC47F6">
      <w:numFmt w:val="bullet"/>
      <w:lvlText w:val="•"/>
      <w:lvlJc w:val="left"/>
      <w:pPr>
        <w:ind w:left="4553" w:hanging="341"/>
      </w:pPr>
      <w:rPr>
        <w:rFonts w:hint="default"/>
        <w:lang w:val="uk-UA" w:eastAsia="en-US" w:bidi="ar-SA"/>
      </w:rPr>
    </w:lvl>
  </w:abstractNum>
  <w:abstractNum w:abstractNumId="32" w15:restartNumberingAfterBreak="0">
    <w:nsid w:val="4CBD27D6"/>
    <w:multiLevelType w:val="hybridMultilevel"/>
    <w:tmpl w:val="0AC0E2F8"/>
    <w:lvl w:ilvl="0" w:tplc="DD6E6E20">
      <w:numFmt w:val="bullet"/>
      <w:lvlText w:val="•"/>
      <w:lvlJc w:val="left"/>
      <w:pPr>
        <w:ind w:left="355" w:hanging="341"/>
      </w:pPr>
      <w:rPr>
        <w:rFonts w:ascii="Cambria" w:eastAsia="Cambria" w:hAnsi="Cambria" w:cs="Cambria" w:hint="default"/>
        <w:b w:val="0"/>
        <w:bCs w:val="0"/>
        <w:i w:val="0"/>
        <w:iCs w:val="0"/>
        <w:spacing w:val="0"/>
        <w:w w:val="136"/>
        <w:sz w:val="22"/>
        <w:szCs w:val="22"/>
        <w:lang w:val="uk-UA" w:eastAsia="en-US" w:bidi="ar-SA"/>
      </w:rPr>
    </w:lvl>
    <w:lvl w:ilvl="1" w:tplc="48DA48E8">
      <w:numFmt w:val="bullet"/>
      <w:lvlText w:val="•"/>
      <w:lvlJc w:val="left"/>
      <w:pPr>
        <w:ind w:left="595" w:hanging="341"/>
      </w:pPr>
      <w:rPr>
        <w:rFonts w:ascii="Cambria" w:eastAsia="Cambria" w:hAnsi="Cambria" w:cs="Cambria" w:hint="default"/>
        <w:b w:val="0"/>
        <w:bCs w:val="0"/>
        <w:i w:val="0"/>
        <w:iCs w:val="0"/>
        <w:spacing w:val="0"/>
        <w:w w:val="136"/>
        <w:sz w:val="22"/>
        <w:szCs w:val="22"/>
        <w:lang w:val="uk-UA" w:eastAsia="en-US" w:bidi="ar-SA"/>
      </w:rPr>
    </w:lvl>
    <w:lvl w:ilvl="2" w:tplc="44A49D62">
      <w:numFmt w:val="bullet"/>
      <w:lvlText w:val="•"/>
      <w:lvlJc w:val="left"/>
      <w:pPr>
        <w:ind w:left="484" w:hanging="341"/>
      </w:pPr>
      <w:rPr>
        <w:rFonts w:hint="default"/>
        <w:lang w:val="uk-UA" w:eastAsia="en-US" w:bidi="ar-SA"/>
      </w:rPr>
    </w:lvl>
    <w:lvl w:ilvl="3" w:tplc="47B43F48">
      <w:numFmt w:val="bullet"/>
      <w:lvlText w:val="•"/>
      <w:lvlJc w:val="left"/>
      <w:pPr>
        <w:ind w:left="369" w:hanging="341"/>
      </w:pPr>
      <w:rPr>
        <w:rFonts w:hint="default"/>
        <w:lang w:val="uk-UA" w:eastAsia="en-US" w:bidi="ar-SA"/>
      </w:rPr>
    </w:lvl>
    <w:lvl w:ilvl="4" w:tplc="3206728E">
      <w:numFmt w:val="bullet"/>
      <w:lvlText w:val="•"/>
      <w:lvlJc w:val="left"/>
      <w:pPr>
        <w:ind w:left="254" w:hanging="341"/>
      </w:pPr>
      <w:rPr>
        <w:rFonts w:hint="default"/>
        <w:lang w:val="uk-UA" w:eastAsia="en-US" w:bidi="ar-SA"/>
      </w:rPr>
    </w:lvl>
    <w:lvl w:ilvl="5" w:tplc="51B62D4A">
      <w:numFmt w:val="bullet"/>
      <w:lvlText w:val="•"/>
      <w:lvlJc w:val="left"/>
      <w:pPr>
        <w:ind w:left="138" w:hanging="341"/>
      </w:pPr>
      <w:rPr>
        <w:rFonts w:hint="default"/>
        <w:lang w:val="uk-UA" w:eastAsia="en-US" w:bidi="ar-SA"/>
      </w:rPr>
    </w:lvl>
    <w:lvl w:ilvl="6" w:tplc="D3F04F8E">
      <w:numFmt w:val="bullet"/>
      <w:lvlText w:val="•"/>
      <w:lvlJc w:val="left"/>
      <w:pPr>
        <w:ind w:left="23" w:hanging="341"/>
      </w:pPr>
      <w:rPr>
        <w:rFonts w:hint="default"/>
        <w:lang w:val="uk-UA" w:eastAsia="en-US" w:bidi="ar-SA"/>
      </w:rPr>
    </w:lvl>
    <w:lvl w:ilvl="7" w:tplc="934C4E9C">
      <w:numFmt w:val="bullet"/>
      <w:lvlText w:val="•"/>
      <w:lvlJc w:val="left"/>
      <w:pPr>
        <w:ind w:left="-92" w:hanging="341"/>
      </w:pPr>
      <w:rPr>
        <w:rFonts w:hint="default"/>
        <w:lang w:val="uk-UA" w:eastAsia="en-US" w:bidi="ar-SA"/>
      </w:rPr>
    </w:lvl>
    <w:lvl w:ilvl="8" w:tplc="2DCC3E0A">
      <w:numFmt w:val="bullet"/>
      <w:lvlText w:val="•"/>
      <w:lvlJc w:val="left"/>
      <w:pPr>
        <w:ind w:left="-207" w:hanging="341"/>
      </w:pPr>
      <w:rPr>
        <w:rFonts w:hint="default"/>
        <w:lang w:val="uk-UA" w:eastAsia="en-US" w:bidi="ar-SA"/>
      </w:rPr>
    </w:lvl>
  </w:abstractNum>
  <w:abstractNum w:abstractNumId="33" w15:restartNumberingAfterBreak="0">
    <w:nsid w:val="50075A49"/>
    <w:multiLevelType w:val="hybridMultilevel"/>
    <w:tmpl w:val="F34A28F8"/>
    <w:lvl w:ilvl="0" w:tplc="DC6CB9CA">
      <w:numFmt w:val="bullet"/>
      <w:lvlText w:val="-"/>
      <w:lvlJc w:val="left"/>
      <w:pPr>
        <w:ind w:left="767" w:hanging="341"/>
      </w:pPr>
      <w:rPr>
        <w:rFonts w:ascii="Cambria" w:eastAsia="Cambria" w:hAnsi="Cambria" w:cs="Cambria" w:hint="default"/>
        <w:b w:val="0"/>
        <w:bCs w:val="0"/>
        <w:i w:val="0"/>
        <w:iCs w:val="0"/>
        <w:spacing w:val="0"/>
        <w:w w:val="100"/>
        <w:sz w:val="22"/>
        <w:szCs w:val="22"/>
        <w:lang w:val="uk-UA" w:eastAsia="en-US" w:bidi="ar-SA"/>
      </w:rPr>
    </w:lvl>
    <w:lvl w:ilvl="1" w:tplc="4A503E50">
      <w:numFmt w:val="bullet"/>
      <w:lvlText w:val="•"/>
      <w:lvlJc w:val="left"/>
      <w:pPr>
        <w:ind w:left="1199" w:hanging="341"/>
      </w:pPr>
      <w:rPr>
        <w:rFonts w:hint="default"/>
        <w:lang w:val="uk-UA" w:eastAsia="en-US" w:bidi="ar-SA"/>
      </w:rPr>
    </w:lvl>
    <w:lvl w:ilvl="2" w:tplc="15DAC262">
      <w:numFmt w:val="bullet"/>
      <w:lvlText w:val="•"/>
      <w:lvlJc w:val="left"/>
      <w:pPr>
        <w:ind w:left="1624" w:hanging="341"/>
      </w:pPr>
      <w:rPr>
        <w:rFonts w:hint="default"/>
        <w:lang w:val="uk-UA" w:eastAsia="en-US" w:bidi="ar-SA"/>
      </w:rPr>
    </w:lvl>
    <w:lvl w:ilvl="3" w:tplc="BCBCFF5C">
      <w:numFmt w:val="bullet"/>
      <w:lvlText w:val="•"/>
      <w:lvlJc w:val="left"/>
      <w:pPr>
        <w:ind w:left="2049" w:hanging="341"/>
      </w:pPr>
      <w:rPr>
        <w:rFonts w:hint="default"/>
        <w:lang w:val="uk-UA" w:eastAsia="en-US" w:bidi="ar-SA"/>
      </w:rPr>
    </w:lvl>
    <w:lvl w:ilvl="4" w:tplc="2048E6C8">
      <w:numFmt w:val="bullet"/>
      <w:lvlText w:val="•"/>
      <w:lvlJc w:val="left"/>
      <w:pPr>
        <w:ind w:left="2474" w:hanging="341"/>
      </w:pPr>
      <w:rPr>
        <w:rFonts w:hint="default"/>
        <w:lang w:val="uk-UA" w:eastAsia="en-US" w:bidi="ar-SA"/>
      </w:rPr>
    </w:lvl>
    <w:lvl w:ilvl="5" w:tplc="2A76670C">
      <w:numFmt w:val="bullet"/>
      <w:lvlText w:val="•"/>
      <w:lvlJc w:val="left"/>
      <w:pPr>
        <w:ind w:left="2899" w:hanging="341"/>
      </w:pPr>
      <w:rPr>
        <w:rFonts w:hint="default"/>
        <w:lang w:val="uk-UA" w:eastAsia="en-US" w:bidi="ar-SA"/>
      </w:rPr>
    </w:lvl>
    <w:lvl w:ilvl="6" w:tplc="9D08B948">
      <w:numFmt w:val="bullet"/>
      <w:lvlText w:val="•"/>
      <w:lvlJc w:val="left"/>
      <w:pPr>
        <w:ind w:left="3323" w:hanging="341"/>
      </w:pPr>
      <w:rPr>
        <w:rFonts w:hint="default"/>
        <w:lang w:val="uk-UA" w:eastAsia="en-US" w:bidi="ar-SA"/>
      </w:rPr>
    </w:lvl>
    <w:lvl w:ilvl="7" w:tplc="85BACA32">
      <w:numFmt w:val="bullet"/>
      <w:lvlText w:val="•"/>
      <w:lvlJc w:val="left"/>
      <w:pPr>
        <w:ind w:left="3748" w:hanging="341"/>
      </w:pPr>
      <w:rPr>
        <w:rFonts w:hint="default"/>
        <w:lang w:val="uk-UA" w:eastAsia="en-US" w:bidi="ar-SA"/>
      </w:rPr>
    </w:lvl>
    <w:lvl w:ilvl="8" w:tplc="62C4773A">
      <w:numFmt w:val="bullet"/>
      <w:lvlText w:val="•"/>
      <w:lvlJc w:val="left"/>
      <w:pPr>
        <w:ind w:left="4173" w:hanging="341"/>
      </w:pPr>
      <w:rPr>
        <w:rFonts w:hint="default"/>
        <w:lang w:val="uk-UA" w:eastAsia="en-US" w:bidi="ar-SA"/>
      </w:rPr>
    </w:lvl>
  </w:abstractNum>
  <w:abstractNum w:abstractNumId="34" w15:restartNumberingAfterBreak="0">
    <w:nsid w:val="5EF23EAB"/>
    <w:multiLevelType w:val="hybridMultilevel"/>
    <w:tmpl w:val="27B0D6F4"/>
    <w:lvl w:ilvl="0" w:tplc="DC6CB9CA">
      <w:numFmt w:val="bullet"/>
      <w:lvlText w:val="-"/>
      <w:lvlJc w:val="left"/>
      <w:pPr>
        <w:ind w:left="595" w:hanging="341"/>
      </w:pPr>
      <w:rPr>
        <w:rFonts w:ascii="Cambria" w:eastAsia="Cambria" w:hAnsi="Cambria" w:cs="Cambria" w:hint="default"/>
        <w:b w:val="0"/>
        <w:bCs w:val="0"/>
        <w:i w:val="0"/>
        <w:iCs w:val="0"/>
        <w:spacing w:val="0"/>
        <w:w w:val="100"/>
        <w:sz w:val="22"/>
        <w:szCs w:val="22"/>
        <w:lang w:val="uk-UA" w:eastAsia="en-US" w:bidi="ar-SA"/>
      </w:rPr>
    </w:lvl>
    <w:lvl w:ilvl="1" w:tplc="B5028A3C">
      <w:numFmt w:val="bullet"/>
      <w:lvlText w:val="•"/>
      <w:lvlJc w:val="left"/>
      <w:pPr>
        <w:ind w:left="1024" w:hanging="341"/>
      </w:pPr>
      <w:rPr>
        <w:rFonts w:hint="default"/>
        <w:lang w:val="uk-UA" w:eastAsia="en-US" w:bidi="ar-SA"/>
      </w:rPr>
    </w:lvl>
    <w:lvl w:ilvl="2" w:tplc="A61C33FA">
      <w:numFmt w:val="bullet"/>
      <w:lvlText w:val="•"/>
      <w:lvlJc w:val="left"/>
      <w:pPr>
        <w:ind w:left="1449" w:hanging="341"/>
      </w:pPr>
      <w:rPr>
        <w:rFonts w:hint="default"/>
        <w:lang w:val="uk-UA" w:eastAsia="en-US" w:bidi="ar-SA"/>
      </w:rPr>
    </w:lvl>
    <w:lvl w:ilvl="3" w:tplc="898C2984">
      <w:numFmt w:val="bullet"/>
      <w:lvlText w:val="•"/>
      <w:lvlJc w:val="left"/>
      <w:pPr>
        <w:ind w:left="1874" w:hanging="341"/>
      </w:pPr>
      <w:rPr>
        <w:rFonts w:hint="default"/>
        <w:lang w:val="uk-UA" w:eastAsia="en-US" w:bidi="ar-SA"/>
      </w:rPr>
    </w:lvl>
    <w:lvl w:ilvl="4" w:tplc="033C4E6A">
      <w:numFmt w:val="bullet"/>
      <w:lvlText w:val="•"/>
      <w:lvlJc w:val="left"/>
      <w:pPr>
        <w:ind w:left="2299" w:hanging="341"/>
      </w:pPr>
      <w:rPr>
        <w:rFonts w:hint="default"/>
        <w:lang w:val="uk-UA" w:eastAsia="en-US" w:bidi="ar-SA"/>
      </w:rPr>
    </w:lvl>
    <w:lvl w:ilvl="5" w:tplc="AAC02280">
      <w:numFmt w:val="bullet"/>
      <w:lvlText w:val="•"/>
      <w:lvlJc w:val="left"/>
      <w:pPr>
        <w:ind w:left="2724" w:hanging="341"/>
      </w:pPr>
      <w:rPr>
        <w:rFonts w:hint="default"/>
        <w:lang w:val="uk-UA" w:eastAsia="en-US" w:bidi="ar-SA"/>
      </w:rPr>
    </w:lvl>
    <w:lvl w:ilvl="6" w:tplc="0FAA5136">
      <w:numFmt w:val="bullet"/>
      <w:lvlText w:val="•"/>
      <w:lvlJc w:val="left"/>
      <w:pPr>
        <w:ind w:left="3149" w:hanging="341"/>
      </w:pPr>
      <w:rPr>
        <w:rFonts w:hint="default"/>
        <w:lang w:val="uk-UA" w:eastAsia="en-US" w:bidi="ar-SA"/>
      </w:rPr>
    </w:lvl>
    <w:lvl w:ilvl="7" w:tplc="1BF87002">
      <w:numFmt w:val="bullet"/>
      <w:lvlText w:val="•"/>
      <w:lvlJc w:val="left"/>
      <w:pPr>
        <w:ind w:left="3573" w:hanging="341"/>
      </w:pPr>
      <w:rPr>
        <w:rFonts w:hint="default"/>
        <w:lang w:val="uk-UA" w:eastAsia="en-US" w:bidi="ar-SA"/>
      </w:rPr>
    </w:lvl>
    <w:lvl w:ilvl="8" w:tplc="99A25A4C">
      <w:numFmt w:val="bullet"/>
      <w:lvlText w:val="•"/>
      <w:lvlJc w:val="left"/>
      <w:pPr>
        <w:ind w:left="3998" w:hanging="341"/>
      </w:pPr>
      <w:rPr>
        <w:rFonts w:hint="default"/>
        <w:lang w:val="uk-UA" w:eastAsia="en-US" w:bidi="ar-SA"/>
      </w:rPr>
    </w:lvl>
  </w:abstractNum>
  <w:abstractNum w:abstractNumId="35" w15:restartNumberingAfterBreak="0">
    <w:nsid w:val="621621BA"/>
    <w:multiLevelType w:val="hybridMultilevel"/>
    <w:tmpl w:val="1E586ACA"/>
    <w:lvl w:ilvl="0" w:tplc="38A20840">
      <w:numFmt w:val="bullet"/>
      <w:lvlText w:val="-"/>
      <w:lvlJc w:val="left"/>
      <w:pPr>
        <w:ind w:left="0" w:hanging="87"/>
      </w:pPr>
      <w:rPr>
        <w:rFonts w:ascii="Times New Roman" w:eastAsia="Times New Roman" w:hAnsi="Times New Roman" w:cs="Times New Roman" w:hint="default"/>
        <w:b w:val="0"/>
        <w:bCs w:val="0"/>
        <w:i w:val="0"/>
        <w:iCs w:val="0"/>
        <w:spacing w:val="0"/>
        <w:w w:val="98"/>
        <w:sz w:val="15"/>
        <w:szCs w:val="15"/>
        <w:lang w:val="uk-UA" w:eastAsia="en-US" w:bidi="ar-SA"/>
      </w:rPr>
    </w:lvl>
    <w:lvl w:ilvl="1" w:tplc="E154FBC8">
      <w:numFmt w:val="bullet"/>
      <w:lvlText w:val="•"/>
      <w:lvlJc w:val="left"/>
      <w:pPr>
        <w:ind w:left="110" w:hanging="87"/>
      </w:pPr>
      <w:rPr>
        <w:rFonts w:hint="default"/>
        <w:lang w:val="uk-UA" w:eastAsia="en-US" w:bidi="ar-SA"/>
      </w:rPr>
    </w:lvl>
    <w:lvl w:ilvl="2" w:tplc="E73A22D0">
      <w:numFmt w:val="bullet"/>
      <w:lvlText w:val="•"/>
      <w:lvlJc w:val="left"/>
      <w:pPr>
        <w:ind w:left="221" w:hanging="87"/>
      </w:pPr>
      <w:rPr>
        <w:rFonts w:hint="default"/>
        <w:lang w:val="uk-UA" w:eastAsia="en-US" w:bidi="ar-SA"/>
      </w:rPr>
    </w:lvl>
    <w:lvl w:ilvl="3" w:tplc="C9E4B7F8">
      <w:numFmt w:val="bullet"/>
      <w:lvlText w:val="•"/>
      <w:lvlJc w:val="left"/>
      <w:pPr>
        <w:ind w:left="332" w:hanging="87"/>
      </w:pPr>
      <w:rPr>
        <w:rFonts w:hint="default"/>
        <w:lang w:val="uk-UA" w:eastAsia="en-US" w:bidi="ar-SA"/>
      </w:rPr>
    </w:lvl>
    <w:lvl w:ilvl="4" w:tplc="133065AA">
      <w:numFmt w:val="bullet"/>
      <w:lvlText w:val="•"/>
      <w:lvlJc w:val="left"/>
      <w:pPr>
        <w:ind w:left="442" w:hanging="87"/>
      </w:pPr>
      <w:rPr>
        <w:rFonts w:hint="default"/>
        <w:lang w:val="uk-UA" w:eastAsia="en-US" w:bidi="ar-SA"/>
      </w:rPr>
    </w:lvl>
    <w:lvl w:ilvl="5" w:tplc="9182A700">
      <w:numFmt w:val="bullet"/>
      <w:lvlText w:val="•"/>
      <w:lvlJc w:val="left"/>
      <w:pPr>
        <w:ind w:left="553" w:hanging="87"/>
      </w:pPr>
      <w:rPr>
        <w:rFonts w:hint="default"/>
        <w:lang w:val="uk-UA" w:eastAsia="en-US" w:bidi="ar-SA"/>
      </w:rPr>
    </w:lvl>
    <w:lvl w:ilvl="6" w:tplc="173473F4">
      <w:numFmt w:val="bullet"/>
      <w:lvlText w:val="•"/>
      <w:lvlJc w:val="left"/>
      <w:pPr>
        <w:ind w:left="663" w:hanging="87"/>
      </w:pPr>
      <w:rPr>
        <w:rFonts w:hint="default"/>
        <w:lang w:val="uk-UA" w:eastAsia="en-US" w:bidi="ar-SA"/>
      </w:rPr>
    </w:lvl>
    <w:lvl w:ilvl="7" w:tplc="CB96E048">
      <w:numFmt w:val="bullet"/>
      <w:lvlText w:val="•"/>
      <w:lvlJc w:val="left"/>
      <w:pPr>
        <w:ind w:left="774" w:hanging="87"/>
      </w:pPr>
      <w:rPr>
        <w:rFonts w:hint="default"/>
        <w:lang w:val="uk-UA" w:eastAsia="en-US" w:bidi="ar-SA"/>
      </w:rPr>
    </w:lvl>
    <w:lvl w:ilvl="8" w:tplc="B48E5B48">
      <w:numFmt w:val="bullet"/>
      <w:lvlText w:val="•"/>
      <w:lvlJc w:val="left"/>
      <w:pPr>
        <w:ind w:left="885" w:hanging="87"/>
      </w:pPr>
      <w:rPr>
        <w:rFonts w:hint="default"/>
        <w:lang w:val="uk-UA" w:eastAsia="en-US" w:bidi="ar-SA"/>
      </w:rPr>
    </w:lvl>
  </w:abstractNum>
  <w:abstractNum w:abstractNumId="36" w15:restartNumberingAfterBreak="0">
    <w:nsid w:val="64AF6465"/>
    <w:multiLevelType w:val="hybridMultilevel"/>
    <w:tmpl w:val="E77C455A"/>
    <w:lvl w:ilvl="0" w:tplc="DC6CB9CA">
      <w:numFmt w:val="bullet"/>
      <w:lvlText w:val="-"/>
      <w:lvlJc w:val="left"/>
      <w:pPr>
        <w:ind w:left="355" w:hanging="341"/>
      </w:pPr>
      <w:rPr>
        <w:rFonts w:ascii="Cambria" w:eastAsia="Cambria" w:hAnsi="Cambria" w:cs="Cambria" w:hint="default"/>
        <w:b w:val="0"/>
        <w:bCs w:val="0"/>
        <w:i w:val="0"/>
        <w:iCs w:val="0"/>
        <w:spacing w:val="0"/>
        <w:w w:val="100"/>
        <w:sz w:val="22"/>
        <w:szCs w:val="22"/>
        <w:lang w:val="uk-UA" w:eastAsia="en-US" w:bidi="ar-SA"/>
      </w:rPr>
    </w:lvl>
    <w:lvl w:ilvl="1" w:tplc="DC6CB9CA">
      <w:numFmt w:val="bullet"/>
      <w:lvlText w:val="-"/>
      <w:lvlJc w:val="left"/>
      <w:pPr>
        <w:ind w:left="992" w:hanging="341"/>
      </w:pPr>
      <w:rPr>
        <w:rFonts w:ascii="Cambria" w:eastAsia="Cambria" w:hAnsi="Cambria" w:cs="Cambria" w:hint="default"/>
        <w:b w:val="0"/>
        <w:bCs w:val="0"/>
        <w:i w:val="0"/>
        <w:iCs w:val="0"/>
        <w:spacing w:val="0"/>
        <w:w w:val="100"/>
        <w:sz w:val="22"/>
        <w:szCs w:val="22"/>
        <w:lang w:val="uk-UA" w:eastAsia="en-US" w:bidi="ar-SA"/>
      </w:rPr>
    </w:lvl>
    <w:lvl w:ilvl="2" w:tplc="B2D2D964">
      <w:numFmt w:val="bullet"/>
      <w:lvlText w:val="•"/>
      <w:lvlJc w:val="left"/>
      <w:pPr>
        <w:ind w:left="928" w:hanging="341"/>
      </w:pPr>
      <w:rPr>
        <w:rFonts w:hint="default"/>
        <w:lang w:val="uk-UA" w:eastAsia="en-US" w:bidi="ar-SA"/>
      </w:rPr>
    </w:lvl>
    <w:lvl w:ilvl="3" w:tplc="8AEC1746">
      <w:numFmt w:val="bullet"/>
      <w:lvlText w:val="•"/>
      <w:lvlJc w:val="left"/>
      <w:pPr>
        <w:ind w:left="857" w:hanging="341"/>
      </w:pPr>
      <w:rPr>
        <w:rFonts w:hint="default"/>
        <w:lang w:val="uk-UA" w:eastAsia="en-US" w:bidi="ar-SA"/>
      </w:rPr>
    </w:lvl>
    <w:lvl w:ilvl="4" w:tplc="608436A8">
      <w:numFmt w:val="bullet"/>
      <w:lvlText w:val="•"/>
      <w:lvlJc w:val="left"/>
      <w:pPr>
        <w:ind w:left="785" w:hanging="341"/>
      </w:pPr>
      <w:rPr>
        <w:rFonts w:hint="default"/>
        <w:lang w:val="uk-UA" w:eastAsia="en-US" w:bidi="ar-SA"/>
      </w:rPr>
    </w:lvl>
    <w:lvl w:ilvl="5" w:tplc="32FC5B88">
      <w:numFmt w:val="bullet"/>
      <w:lvlText w:val="•"/>
      <w:lvlJc w:val="left"/>
      <w:pPr>
        <w:ind w:left="714" w:hanging="341"/>
      </w:pPr>
      <w:rPr>
        <w:rFonts w:hint="default"/>
        <w:lang w:val="uk-UA" w:eastAsia="en-US" w:bidi="ar-SA"/>
      </w:rPr>
    </w:lvl>
    <w:lvl w:ilvl="6" w:tplc="FF142AE8">
      <w:numFmt w:val="bullet"/>
      <w:lvlText w:val="•"/>
      <w:lvlJc w:val="left"/>
      <w:pPr>
        <w:ind w:left="642" w:hanging="341"/>
      </w:pPr>
      <w:rPr>
        <w:rFonts w:hint="default"/>
        <w:lang w:val="uk-UA" w:eastAsia="en-US" w:bidi="ar-SA"/>
      </w:rPr>
    </w:lvl>
    <w:lvl w:ilvl="7" w:tplc="5142E732">
      <w:numFmt w:val="bullet"/>
      <w:lvlText w:val="•"/>
      <w:lvlJc w:val="left"/>
      <w:pPr>
        <w:ind w:left="571" w:hanging="341"/>
      </w:pPr>
      <w:rPr>
        <w:rFonts w:hint="default"/>
        <w:lang w:val="uk-UA" w:eastAsia="en-US" w:bidi="ar-SA"/>
      </w:rPr>
    </w:lvl>
    <w:lvl w:ilvl="8" w:tplc="06264FAC">
      <w:numFmt w:val="bullet"/>
      <w:lvlText w:val="•"/>
      <w:lvlJc w:val="left"/>
      <w:pPr>
        <w:ind w:left="499" w:hanging="341"/>
      </w:pPr>
      <w:rPr>
        <w:rFonts w:hint="default"/>
        <w:lang w:val="uk-UA" w:eastAsia="en-US" w:bidi="ar-SA"/>
      </w:rPr>
    </w:lvl>
  </w:abstractNum>
  <w:abstractNum w:abstractNumId="37" w15:restartNumberingAfterBreak="0">
    <w:nsid w:val="65997C06"/>
    <w:multiLevelType w:val="hybridMultilevel"/>
    <w:tmpl w:val="912A7EFE"/>
    <w:lvl w:ilvl="0" w:tplc="6E4A9C2A">
      <w:numFmt w:val="bullet"/>
      <w:lvlText w:val="-"/>
      <w:lvlJc w:val="left"/>
      <w:pPr>
        <w:ind w:left="0" w:hanging="87"/>
      </w:pPr>
      <w:rPr>
        <w:rFonts w:ascii="Times New Roman" w:eastAsia="Times New Roman" w:hAnsi="Times New Roman" w:cs="Times New Roman" w:hint="default"/>
        <w:b w:val="0"/>
        <w:bCs w:val="0"/>
        <w:i w:val="0"/>
        <w:iCs w:val="0"/>
        <w:spacing w:val="0"/>
        <w:w w:val="98"/>
        <w:sz w:val="15"/>
        <w:szCs w:val="15"/>
        <w:lang w:val="uk-UA" w:eastAsia="en-US" w:bidi="ar-SA"/>
      </w:rPr>
    </w:lvl>
    <w:lvl w:ilvl="1" w:tplc="8064FFCA">
      <w:numFmt w:val="bullet"/>
      <w:lvlText w:val="•"/>
      <w:lvlJc w:val="left"/>
      <w:pPr>
        <w:ind w:left="89" w:hanging="87"/>
      </w:pPr>
      <w:rPr>
        <w:rFonts w:hint="default"/>
        <w:lang w:val="uk-UA" w:eastAsia="en-US" w:bidi="ar-SA"/>
      </w:rPr>
    </w:lvl>
    <w:lvl w:ilvl="2" w:tplc="745A2D24">
      <w:numFmt w:val="bullet"/>
      <w:lvlText w:val="•"/>
      <w:lvlJc w:val="left"/>
      <w:pPr>
        <w:ind w:left="178" w:hanging="87"/>
      </w:pPr>
      <w:rPr>
        <w:rFonts w:hint="default"/>
        <w:lang w:val="uk-UA" w:eastAsia="en-US" w:bidi="ar-SA"/>
      </w:rPr>
    </w:lvl>
    <w:lvl w:ilvl="3" w:tplc="4AF05902">
      <w:numFmt w:val="bullet"/>
      <w:lvlText w:val="•"/>
      <w:lvlJc w:val="left"/>
      <w:pPr>
        <w:ind w:left="268" w:hanging="87"/>
      </w:pPr>
      <w:rPr>
        <w:rFonts w:hint="default"/>
        <w:lang w:val="uk-UA" w:eastAsia="en-US" w:bidi="ar-SA"/>
      </w:rPr>
    </w:lvl>
    <w:lvl w:ilvl="4" w:tplc="F6A0E89C">
      <w:numFmt w:val="bullet"/>
      <w:lvlText w:val="•"/>
      <w:lvlJc w:val="left"/>
      <w:pPr>
        <w:ind w:left="357" w:hanging="87"/>
      </w:pPr>
      <w:rPr>
        <w:rFonts w:hint="default"/>
        <w:lang w:val="uk-UA" w:eastAsia="en-US" w:bidi="ar-SA"/>
      </w:rPr>
    </w:lvl>
    <w:lvl w:ilvl="5" w:tplc="31B65924">
      <w:numFmt w:val="bullet"/>
      <w:lvlText w:val="•"/>
      <w:lvlJc w:val="left"/>
      <w:pPr>
        <w:ind w:left="447" w:hanging="87"/>
      </w:pPr>
      <w:rPr>
        <w:rFonts w:hint="default"/>
        <w:lang w:val="uk-UA" w:eastAsia="en-US" w:bidi="ar-SA"/>
      </w:rPr>
    </w:lvl>
    <w:lvl w:ilvl="6" w:tplc="43B26C10">
      <w:numFmt w:val="bullet"/>
      <w:lvlText w:val="•"/>
      <w:lvlJc w:val="left"/>
      <w:pPr>
        <w:ind w:left="536" w:hanging="87"/>
      </w:pPr>
      <w:rPr>
        <w:rFonts w:hint="default"/>
        <w:lang w:val="uk-UA" w:eastAsia="en-US" w:bidi="ar-SA"/>
      </w:rPr>
    </w:lvl>
    <w:lvl w:ilvl="7" w:tplc="0EE010C4">
      <w:numFmt w:val="bullet"/>
      <w:lvlText w:val="•"/>
      <w:lvlJc w:val="left"/>
      <w:pPr>
        <w:ind w:left="626" w:hanging="87"/>
      </w:pPr>
      <w:rPr>
        <w:rFonts w:hint="default"/>
        <w:lang w:val="uk-UA" w:eastAsia="en-US" w:bidi="ar-SA"/>
      </w:rPr>
    </w:lvl>
    <w:lvl w:ilvl="8" w:tplc="AEB83C7A">
      <w:numFmt w:val="bullet"/>
      <w:lvlText w:val="•"/>
      <w:lvlJc w:val="left"/>
      <w:pPr>
        <w:ind w:left="715" w:hanging="87"/>
      </w:pPr>
      <w:rPr>
        <w:rFonts w:hint="default"/>
        <w:lang w:val="uk-UA" w:eastAsia="en-US" w:bidi="ar-SA"/>
      </w:rPr>
    </w:lvl>
  </w:abstractNum>
  <w:abstractNum w:abstractNumId="38" w15:restartNumberingAfterBreak="0">
    <w:nsid w:val="666322C4"/>
    <w:multiLevelType w:val="hybridMultilevel"/>
    <w:tmpl w:val="FB1295E2"/>
    <w:lvl w:ilvl="0" w:tplc="DC6CB9CA">
      <w:numFmt w:val="bullet"/>
      <w:lvlText w:val="-"/>
      <w:lvlJc w:val="left"/>
      <w:pPr>
        <w:ind w:left="992" w:hanging="341"/>
      </w:pPr>
      <w:rPr>
        <w:rFonts w:ascii="Cambria" w:eastAsia="Cambria" w:hAnsi="Cambria" w:cs="Cambria" w:hint="default"/>
        <w:b w:val="0"/>
        <w:bCs w:val="0"/>
        <w:i w:val="0"/>
        <w:iCs w:val="0"/>
        <w:spacing w:val="0"/>
        <w:w w:val="100"/>
        <w:sz w:val="22"/>
        <w:szCs w:val="22"/>
        <w:lang w:val="uk-UA" w:eastAsia="en-US" w:bidi="ar-SA"/>
      </w:rPr>
    </w:lvl>
    <w:lvl w:ilvl="1" w:tplc="36E0B66E">
      <w:numFmt w:val="bullet"/>
      <w:lvlText w:val="•"/>
      <w:lvlJc w:val="left"/>
      <w:pPr>
        <w:ind w:left="1424" w:hanging="341"/>
      </w:pPr>
      <w:rPr>
        <w:rFonts w:hint="default"/>
        <w:lang w:val="uk-UA" w:eastAsia="en-US" w:bidi="ar-SA"/>
      </w:rPr>
    </w:lvl>
    <w:lvl w:ilvl="2" w:tplc="2F9CD5E0">
      <w:numFmt w:val="bullet"/>
      <w:lvlText w:val="•"/>
      <w:lvlJc w:val="left"/>
      <w:pPr>
        <w:ind w:left="1849" w:hanging="341"/>
      </w:pPr>
      <w:rPr>
        <w:rFonts w:hint="default"/>
        <w:lang w:val="uk-UA" w:eastAsia="en-US" w:bidi="ar-SA"/>
      </w:rPr>
    </w:lvl>
    <w:lvl w:ilvl="3" w:tplc="AABC7606">
      <w:numFmt w:val="bullet"/>
      <w:lvlText w:val="•"/>
      <w:lvlJc w:val="left"/>
      <w:pPr>
        <w:ind w:left="2273" w:hanging="341"/>
      </w:pPr>
      <w:rPr>
        <w:rFonts w:hint="default"/>
        <w:lang w:val="uk-UA" w:eastAsia="en-US" w:bidi="ar-SA"/>
      </w:rPr>
    </w:lvl>
    <w:lvl w:ilvl="4" w:tplc="4788A98A">
      <w:numFmt w:val="bullet"/>
      <w:lvlText w:val="•"/>
      <w:lvlJc w:val="left"/>
      <w:pPr>
        <w:ind w:left="2698" w:hanging="341"/>
      </w:pPr>
      <w:rPr>
        <w:rFonts w:hint="default"/>
        <w:lang w:val="uk-UA" w:eastAsia="en-US" w:bidi="ar-SA"/>
      </w:rPr>
    </w:lvl>
    <w:lvl w:ilvl="5" w:tplc="A8FE84C8">
      <w:numFmt w:val="bullet"/>
      <w:lvlText w:val="•"/>
      <w:lvlJc w:val="left"/>
      <w:pPr>
        <w:ind w:left="3122" w:hanging="341"/>
      </w:pPr>
      <w:rPr>
        <w:rFonts w:hint="default"/>
        <w:lang w:val="uk-UA" w:eastAsia="en-US" w:bidi="ar-SA"/>
      </w:rPr>
    </w:lvl>
    <w:lvl w:ilvl="6" w:tplc="9502ED92">
      <w:numFmt w:val="bullet"/>
      <w:lvlText w:val="•"/>
      <w:lvlJc w:val="left"/>
      <w:pPr>
        <w:ind w:left="3547" w:hanging="341"/>
      </w:pPr>
      <w:rPr>
        <w:rFonts w:hint="default"/>
        <w:lang w:val="uk-UA" w:eastAsia="en-US" w:bidi="ar-SA"/>
      </w:rPr>
    </w:lvl>
    <w:lvl w:ilvl="7" w:tplc="99804BE8">
      <w:numFmt w:val="bullet"/>
      <w:lvlText w:val="•"/>
      <w:lvlJc w:val="left"/>
      <w:pPr>
        <w:ind w:left="3972" w:hanging="341"/>
      </w:pPr>
      <w:rPr>
        <w:rFonts w:hint="default"/>
        <w:lang w:val="uk-UA" w:eastAsia="en-US" w:bidi="ar-SA"/>
      </w:rPr>
    </w:lvl>
    <w:lvl w:ilvl="8" w:tplc="8ED89092">
      <w:numFmt w:val="bullet"/>
      <w:lvlText w:val="•"/>
      <w:lvlJc w:val="left"/>
      <w:pPr>
        <w:ind w:left="4396" w:hanging="341"/>
      </w:pPr>
      <w:rPr>
        <w:rFonts w:hint="default"/>
        <w:lang w:val="uk-UA" w:eastAsia="en-US" w:bidi="ar-SA"/>
      </w:rPr>
    </w:lvl>
  </w:abstractNum>
  <w:abstractNum w:abstractNumId="39" w15:restartNumberingAfterBreak="0">
    <w:nsid w:val="687D45FB"/>
    <w:multiLevelType w:val="hybridMultilevel"/>
    <w:tmpl w:val="1430B266"/>
    <w:lvl w:ilvl="0" w:tplc="DC6CB9CA">
      <w:numFmt w:val="bullet"/>
      <w:lvlText w:val="-"/>
      <w:lvlJc w:val="left"/>
      <w:pPr>
        <w:ind w:left="595" w:hanging="341"/>
      </w:pPr>
      <w:rPr>
        <w:rFonts w:ascii="Cambria" w:eastAsia="Cambria" w:hAnsi="Cambria" w:cs="Cambria" w:hint="default"/>
        <w:b w:val="0"/>
        <w:bCs w:val="0"/>
        <w:i w:val="0"/>
        <w:iCs w:val="0"/>
        <w:spacing w:val="0"/>
        <w:w w:val="100"/>
        <w:sz w:val="22"/>
        <w:szCs w:val="22"/>
        <w:lang w:val="uk-UA" w:eastAsia="en-US" w:bidi="ar-SA"/>
      </w:rPr>
    </w:lvl>
    <w:lvl w:ilvl="1" w:tplc="3BB4C53C">
      <w:numFmt w:val="bullet"/>
      <w:lvlText w:val="•"/>
      <w:lvlJc w:val="left"/>
      <w:pPr>
        <w:ind w:left="1024" w:hanging="341"/>
      </w:pPr>
      <w:rPr>
        <w:rFonts w:hint="default"/>
        <w:lang w:val="uk-UA" w:eastAsia="en-US" w:bidi="ar-SA"/>
      </w:rPr>
    </w:lvl>
    <w:lvl w:ilvl="2" w:tplc="158635AE">
      <w:numFmt w:val="bullet"/>
      <w:lvlText w:val="•"/>
      <w:lvlJc w:val="left"/>
      <w:pPr>
        <w:ind w:left="1449" w:hanging="341"/>
      </w:pPr>
      <w:rPr>
        <w:rFonts w:hint="default"/>
        <w:lang w:val="uk-UA" w:eastAsia="en-US" w:bidi="ar-SA"/>
      </w:rPr>
    </w:lvl>
    <w:lvl w:ilvl="3" w:tplc="E4BCAA8A">
      <w:numFmt w:val="bullet"/>
      <w:lvlText w:val="•"/>
      <w:lvlJc w:val="left"/>
      <w:pPr>
        <w:ind w:left="1874" w:hanging="341"/>
      </w:pPr>
      <w:rPr>
        <w:rFonts w:hint="default"/>
        <w:lang w:val="uk-UA" w:eastAsia="en-US" w:bidi="ar-SA"/>
      </w:rPr>
    </w:lvl>
    <w:lvl w:ilvl="4" w:tplc="1F78CA2A">
      <w:numFmt w:val="bullet"/>
      <w:lvlText w:val="•"/>
      <w:lvlJc w:val="left"/>
      <w:pPr>
        <w:ind w:left="2299" w:hanging="341"/>
      </w:pPr>
      <w:rPr>
        <w:rFonts w:hint="default"/>
        <w:lang w:val="uk-UA" w:eastAsia="en-US" w:bidi="ar-SA"/>
      </w:rPr>
    </w:lvl>
    <w:lvl w:ilvl="5" w:tplc="656090E2">
      <w:numFmt w:val="bullet"/>
      <w:lvlText w:val="•"/>
      <w:lvlJc w:val="left"/>
      <w:pPr>
        <w:ind w:left="2724" w:hanging="341"/>
      </w:pPr>
      <w:rPr>
        <w:rFonts w:hint="default"/>
        <w:lang w:val="uk-UA" w:eastAsia="en-US" w:bidi="ar-SA"/>
      </w:rPr>
    </w:lvl>
    <w:lvl w:ilvl="6" w:tplc="9E04ACC0">
      <w:numFmt w:val="bullet"/>
      <w:lvlText w:val="•"/>
      <w:lvlJc w:val="left"/>
      <w:pPr>
        <w:ind w:left="3149" w:hanging="341"/>
      </w:pPr>
      <w:rPr>
        <w:rFonts w:hint="default"/>
        <w:lang w:val="uk-UA" w:eastAsia="en-US" w:bidi="ar-SA"/>
      </w:rPr>
    </w:lvl>
    <w:lvl w:ilvl="7" w:tplc="C9A2EC64">
      <w:numFmt w:val="bullet"/>
      <w:lvlText w:val="•"/>
      <w:lvlJc w:val="left"/>
      <w:pPr>
        <w:ind w:left="3573" w:hanging="341"/>
      </w:pPr>
      <w:rPr>
        <w:rFonts w:hint="default"/>
        <w:lang w:val="uk-UA" w:eastAsia="en-US" w:bidi="ar-SA"/>
      </w:rPr>
    </w:lvl>
    <w:lvl w:ilvl="8" w:tplc="74A414B0">
      <w:numFmt w:val="bullet"/>
      <w:lvlText w:val="•"/>
      <w:lvlJc w:val="left"/>
      <w:pPr>
        <w:ind w:left="3998" w:hanging="341"/>
      </w:pPr>
      <w:rPr>
        <w:rFonts w:hint="default"/>
        <w:lang w:val="uk-UA" w:eastAsia="en-US" w:bidi="ar-SA"/>
      </w:rPr>
    </w:lvl>
  </w:abstractNum>
  <w:abstractNum w:abstractNumId="40" w15:restartNumberingAfterBreak="0">
    <w:nsid w:val="6A40638C"/>
    <w:multiLevelType w:val="hybridMultilevel"/>
    <w:tmpl w:val="074E814A"/>
    <w:lvl w:ilvl="0" w:tplc="DC6CB9CA">
      <w:numFmt w:val="bullet"/>
      <w:lvlText w:val="-"/>
      <w:lvlJc w:val="left"/>
      <w:pPr>
        <w:ind w:left="355" w:hanging="341"/>
      </w:pPr>
      <w:rPr>
        <w:rFonts w:ascii="Cambria" w:eastAsia="Cambria" w:hAnsi="Cambria" w:cs="Cambria" w:hint="default"/>
        <w:b w:val="0"/>
        <w:bCs w:val="0"/>
        <w:i w:val="0"/>
        <w:iCs w:val="0"/>
        <w:spacing w:val="0"/>
        <w:w w:val="100"/>
        <w:sz w:val="22"/>
        <w:szCs w:val="22"/>
        <w:lang w:val="uk-UA" w:eastAsia="en-US" w:bidi="ar-SA"/>
      </w:rPr>
    </w:lvl>
    <w:lvl w:ilvl="1" w:tplc="DC6CB9CA">
      <w:numFmt w:val="bullet"/>
      <w:lvlText w:val="-"/>
      <w:lvlJc w:val="left"/>
      <w:pPr>
        <w:ind w:left="595" w:hanging="341"/>
      </w:pPr>
      <w:rPr>
        <w:rFonts w:ascii="Cambria" w:eastAsia="Cambria" w:hAnsi="Cambria" w:cs="Cambria" w:hint="default"/>
        <w:b w:val="0"/>
        <w:bCs w:val="0"/>
        <w:i w:val="0"/>
        <w:iCs w:val="0"/>
        <w:spacing w:val="0"/>
        <w:w w:val="100"/>
        <w:sz w:val="22"/>
        <w:szCs w:val="22"/>
        <w:lang w:val="uk-UA" w:eastAsia="en-US" w:bidi="ar-SA"/>
      </w:rPr>
    </w:lvl>
    <w:lvl w:ilvl="2" w:tplc="95882138">
      <w:numFmt w:val="bullet"/>
      <w:lvlText w:val="•"/>
      <w:lvlJc w:val="left"/>
      <w:pPr>
        <w:ind w:left="1000" w:hanging="341"/>
      </w:pPr>
      <w:rPr>
        <w:rFonts w:hint="default"/>
        <w:lang w:val="uk-UA" w:eastAsia="en-US" w:bidi="ar-SA"/>
      </w:rPr>
    </w:lvl>
    <w:lvl w:ilvl="3" w:tplc="D2989556">
      <w:numFmt w:val="bullet"/>
      <w:lvlText w:val="•"/>
      <w:lvlJc w:val="left"/>
      <w:pPr>
        <w:ind w:left="820" w:hanging="341"/>
      </w:pPr>
      <w:rPr>
        <w:rFonts w:hint="default"/>
        <w:lang w:val="uk-UA" w:eastAsia="en-US" w:bidi="ar-SA"/>
      </w:rPr>
    </w:lvl>
    <w:lvl w:ilvl="4" w:tplc="981CD710">
      <w:numFmt w:val="bullet"/>
      <w:lvlText w:val="•"/>
      <w:lvlJc w:val="left"/>
      <w:pPr>
        <w:ind w:left="640" w:hanging="341"/>
      </w:pPr>
      <w:rPr>
        <w:rFonts w:hint="default"/>
        <w:lang w:val="uk-UA" w:eastAsia="en-US" w:bidi="ar-SA"/>
      </w:rPr>
    </w:lvl>
    <w:lvl w:ilvl="5" w:tplc="32626A3C">
      <w:numFmt w:val="bullet"/>
      <w:lvlText w:val="•"/>
      <w:lvlJc w:val="left"/>
      <w:pPr>
        <w:ind w:left="461" w:hanging="341"/>
      </w:pPr>
      <w:rPr>
        <w:rFonts w:hint="default"/>
        <w:lang w:val="uk-UA" w:eastAsia="en-US" w:bidi="ar-SA"/>
      </w:rPr>
    </w:lvl>
    <w:lvl w:ilvl="6" w:tplc="1B4235B6">
      <w:numFmt w:val="bullet"/>
      <w:lvlText w:val="•"/>
      <w:lvlJc w:val="left"/>
      <w:pPr>
        <w:ind w:left="281" w:hanging="341"/>
      </w:pPr>
      <w:rPr>
        <w:rFonts w:hint="default"/>
        <w:lang w:val="uk-UA" w:eastAsia="en-US" w:bidi="ar-SA"/>
      </w:rPr>
    </w:lvl>
    <w:lvl w:ilvl="7" w:tplc="06265D92">
      <w:numFmt w:val="bullet"/>
      <w:lvlText w:val="•"/>
      <w:lvlJc w:val="left"/>
      <w:pPr>
        <w:ind w:left="101" w:hanging="341"/>
      </w:pPr>
      <w:rPr>
        <w:rFonts w:hint="default"/>
        <w:lang w:val="uk-UA" w:eastAsia="en-US" w:bidi="ar-SA"/>
      </w:rPr>
    </w:lvl>
    <w:lvl w:ilvl="8" w:tplc="1690085C">
      <w:numFmt w:val="bullet"/>
      <w:lvlText w:val="•"/>
      <w:lvlJc w:val="left"/>
      <w:pPr>
        <w:ind w:left="-78" w:hanging="341"/>
      </w:pPr>
      <w:rPr>
        <w:rFonts w:hint="default"/>
        <w:lang w:val="uk-UA" w:eastAsia="en-US" w:bidi="ar-SA"/>
      </w:rPr>
    </w:lvl>
  </w:abstractNum>
  <w:abstractNum w:abstractNumId="41" w15:restartNumberingAfterBreak="0">
    <w:nsid w:val="6AB329E0"/>
    <w:multiLevelType w:val="hybridMultilevel"/>
    <w:tmpl w:val="737CE652"/>
    <w:lvl w:ilvl="0" w:tplc="586EF1FA">
      <w:numFmt w:val="bullet"/>
      <w:lvlText w:val="-"/>
      <w:lvlJc w:val="left"/>
      <w:pPr>
        <w:ind w:left="356" w:hanging="193"/>
      </w:pPr>
      <w:rPr>
        <w:rFonts w:ascii="Cambria" w:eastAsia="Cambria" w:hAnsi="Cambria" w:cs="Cambria" w:hint="default"/>
        <w:b w:val="0"/>
        <w:bCs w:val="0"/>
        <w:i w:val="0"/>
        <w:iCs w:val="0"/>
        <w:spacing w:val="0"/>
        <w:w w:val="100"/>
        <w:sz w:val="22"/>
        <w:szCs w:val="22"/>
        <w:lang w:val="uk-UA" w:eastAsia="en-US" w:bidi="ar-SA"/>
      </w:rPr>
    </w:lvl>
    <w:lvl w:ilvl="1" w:tplc="9BA8089E">
      <w:numFmt w:val="bullet"/>
      <w:lvlText w:val="•"/>
      <w:lvlJc w:val="left"/>
      <w:pPr>
        <w:ind w:left="844" w:hanging="193"/>
      </w:pPr>
      <w:rPr>
        <w:rFonts w:hint="default"/>
        <w:lang w:val="uk-UA" w:eastAsia="en-US" w:bidi="ar-SA"/>
      </w:rPr>
    </w:lvl>
    <w:lvl w:ilvl="2" w:tplc="F8DE1EB0">
      <w:numFmt w:val="bullet"/>
      <w:lvlText w:val="•"/>
      <w:lvlJc w:val="left"/>
      <w:pPr>
        <w:ind w:left="1328" w:hanging="193"/>
      </w:pPr>
      <w:rPr>
        <w:rFonts w:hint="default"/>
        <w:lang w:val="uk-UA" w:eastAsia="en-US" w:bidi="ar-SA"/>
      </w:rPr>
    </w:lvl>
    <w:lvl w:ilvl="3" w:tplc="8E12C5EE">
      <w:numFmt w:val="bullet"/>
      <w:lvlText w:val="•"/>
      <w:lvlJc w:val="left"/>
      <w:pPr>
        <w:ind w:left="1813" w:hanging="193"/>
      </w:pPr>
      <w:rPr>
        <w:rFonts w:hint="default"/>
        <w:lang w:val="uk-UA" w:eastAsia="en-US" w:bidi="ar-SA"/>
      </w:rPr>
    </w:lvl>
    <w:lvl w:ilvl="4" w:tplc="F10C2232">
      <w:numFmt w:val="bullet"/>
      <w:lvlText w:val="•"/>
      <w:lvlJc w:val="left"/>
      <w:pPr>
        <w:ind w:left="2297" w:hanging="193"/>
      </w:pPr>
      <w:rPr>
        <w:rFonts w:hint="default"/>
        <w:lang w:val="uk-UA" w:eastAsia="en-US" w:bidi="ar-SA"/>
      </w:rPr>
    </w:lvl>
    <w:lvl w:ilvl="5" w:tplc="36303AF4">
      <w:numFmt w:val="bullet"/>
      <w:lvlText w:val="•"/>
      <w:lvlJc w:val="left"/>
      <w:pPr>
        <w:ind w:left="2781" w:hanging="193"/>
      </w:pPr>
      <w:rPr>
        <w:rFonts w:hint="default"/>
        <w:lang w:val="uk-UA" w:eastAsia="en-US" w:bidi="ar-SA"/>
      </w:rPr>
    </w:lvl>
    <w:lvl w:ilvl="6" w:tplc="2B3A9986">
      <w:numFmt w:val="bullet"/>
      <w:lvlText w:val="•"/>
      <w:lvlJc w:val="left"/>
      <w:pPr>
        <w:ind w:left="3266" w:hanging="193"/>
      </w:pPr>
      <w:rPr>
        <w:rFonts w:hint="default"/>
        <w:lang w:val="uk-UA" w:eastAsia="en-US" w:bidi="ar-SA"/>
      </w:rPr>
    </w:lvl>
    <w:lvl w:ilvl="7" w:tplc="48CC3046">
      <w:numFmt w:val="bullet"/>
      <w:lvlText w:val="•"/>
      <w:lvlJc w:val="left"/>
      <w:pPr>
        <w:ind w:left="3750" w:hanging="193"/>
      </w:pPr>
      <w:rPr>
        <w:rFonts w:hint="default"/>
        <w:lang w:val="uk-UA" w:eastAsia="en-US" w:bidi="ar-SA"/>
      </w:rPr>
    </w:lvl>
    <w:lvl w:ilvl="8" w:tplc="3DD2FC94">
      <w:numFmt w:val="bullet"/>
      <w:lvlText w:val="•"/>
      <w:lvlJc w:val="left"/>
      <w:pPr>
        <w:ind w:left="4235" w:hanging="193"/>
      </w:pPr>
      <w:rPr>
        <w:rFonts w:hint="default"/>
        <w:lang w:val="uk-UA" w:eastAsia="en-US" w:bidi="ar-SA"/>
      </w:rPr>
    </w:lvl>
  </w:abstractNum>
  <w:abstractNum w:abstractNumId="42" w15:restartNumberingAfterBreak="0">
    <w:nsid w:val="6ED40467"/>
    <w:multiLevelType w:val="hybridMultilevel"/>
    <w:tmpl w:val="38EE4D96"/>
    <w:lvl w:ilvl="0" w:tplc="DC6CB9CA">
      <w:numFmt w:val="bullet"/>
      <w:lvlText w:val="-"/>
      <w:lvlJc w:val="left"/>
      <w:pPr>
        <w:ind w:left="992" w:hanging="341"/>
      </w:pPr>
      <w:rPr>
        <w:rFonts w:ascii="Cambria" w:eastAsia="Cambria" w:hAnsi="Cambria" w:cs="Cambria" w:hint="default"/>
        <w:b w:val="0"/>
        <w:bCs w:val="0"/>
        <w:i w:val="0"/>
        <w:iCs w:val="0"/>
        <w:spacing w:val="0"/>
        <w:w w:val="100"/>
        <w:sz w:val="22"/>
        <w:szCs w:val="22"/>
        <w:lang w:val="uk-UA" w:eastAsia="en-US" w:bidi="ar-SA"/>
      </w:rPr>
    </w:lvl>
    <w:lvl w:ilvl="1" w:tplc="5DD40EDA">
      <w:numFmt w:val="bullet"/>
      <w:lvlText w:val="•"/>
      <w:lvlJc w:val="left"/>
      <w:pPr>
        <w:ind w:left="1424" w:hanging="341"/>
      </w:pPr>
      <w:rPr>
        <w:rFonts w:hint="default"/>
        <w:lang w:val="uk-UA" w:eastAsia="en-US" w:bidi="ar-SA"/>
      </w:rPr>
    </w:lvl>
    <w:lvl w:ilvl="2" w:tplc="13DAF644">
      <w:numFmt w:val="bullet"/>
      <w:lvlText w:val="•"/>
      <w:lvlJc w:val="left"/>
      <w:pPr>
        <w:ind w:left="1849" w:hanging="341"/>
      </w:pPr>
      <w:rPr>
        <w:rFonts w:hint="default"/>
        <w:lang w:val="uk-UA" w:eastAsia="en-US" w:bidi="ar-SA"/>
      </w:rPr>
    </w:lvl>
    <w:lvl w:ilvl="3" w:tplc="2028254A">
      <w:numFmt w:val="bullet"/>
      <w:lvlText w:val="•"/>
      <w:lvlJc w:val="left"/>
      <w:pPr>
        <w:ind w:left="2273" w:hanging="341"/>
      </w:pPr>
      <w:rPr>
        <w:rFonts w:hint="default"/>
        <w:lang w:val="uk-UA" w:eastAsia="en-US" w:bidi="ar-SA"/>
      </w:rPr>
    </w:lvl>
    <w:lvl w:ilvl="4" w:tplc="ECCAA1AC">
      <w:numFmt w:val="bullet"/>
      <w:lvlText w:val="•"/>
      <w:lvlJc w:val="left"/>
      <w:pPr>
        <w:ind w:left="2698" w:hanging="341"/>
      </w:pPr>
      <w:rPr>
        <w:rFonts w:hint="default"/>
        <w:lang w:val="uk-UA" w:eastAsia="en-US" w:bidi="ar-SA"/>
      </w:rPr>
    </w:lvl>
    <w:lvl w:ilvl="5" w:tplc="E5D6D4DE">
      <w:numFmt w:val="bullet"/>
      <w:lvlText w:val="•"/>
      <w:lvlJc w:val="left"/>
      <w:pPr>
        <w:ind w:left="3122" w:hanging="341"/>
      </w:pPr>
      <w:rPr>
        <w:rFonts w:hint="default"/>
        <w:lang w:val="uk-UA" w:eastAsia="en-US" w:bidi="ar-SA"/>
      </w:rPr>
    </w:lvl>
    <w:lvl w:ilvl="6" w:tplc="EA44E144">
      <w:numFmt w:val="bullet"/>
      <w:lvlText w:val="•"/>
      <w:lvlJc w:val="left"/>
      <w:pPr>
        <w:ind w:left="3547" w:hanging="341"/>
      </w:pPr>
      <w:rPr>
        <w:rFonts w:hint="default"/>
        <w:lang w:val="uk-UA" w:eastAsia="en-US" w:bidi="ar-SA"/>
      </w:rPr>
    </w:lvl>
    <w:lvl w:ilvl="7" w:tplc="AA78471A">
      <w:numFmt w:val="bullet"/>
      <w:lvlText w:val="•"/>
      <w:lvlJc w:val="left"/>
      <w:pPr>
        <w:ind w:left="3971" w:hanging="341"/>
      </w:pPr>
      <w:rPr>
        <w:rFonts w:hint="default"/>
        <w:lang w:val="uk-UA" w:eastAsia="en-US" w:bidi="ar-SA"/>
      </w:rPr>
    </w:lvl>
    <w:lvl w:ilvl="8" w:tplc="46DE1FFE">
      <w:numFmt w:val="bullet"/>
      <w:lvlText w:val="•"/>
      <w:lvlJc w:val="left"/>
      <w:pPr>
        <w:ind w:left="4396" w:hanging="341"/>
      </w:pPr>
      <w:rPr>
        <w:rFonts w:hint="default"/>
        <w:lang w:val="uk-UA" w:eastAsia="en-US" w:bidi="ar-SA"/>
      </w:rPr>
    </w:lvl>
  </w:abstractNum>
  <w:abstractNum w:abstractNumId="43" w15:restartNumberingAfterBreak="0">
    <w:nsid w:val="6FBE18C9"/>
    <w:multiLevelType w:val="hybridMultilevel"/>
    <w:tmpl w:val="9F1C7492"/>
    <w:lvl w:ilvl="0" w:tplc="DC6CB9CA">
      <w:numFmt w:val="bullet"/>
      <w:lvlText w:val="-"/>
      <w:lvlJc w:val="left"/>
      <w:pPr>
        <w:ind w:left="767" w:hanging="341"/>
      </w:pPr>
      <w:rPr>
        <w:rFonts w:ascii="Cambria" w:eastAsia="Cambria" w:hAnsi="Cambria" w:cs="Cambria" w:hint="default"/>
        <w:b w:val="0"/>
        <w:bCs w:val="0"/>
        <w:i w:val="0"/>
        <w:iCs w:val="0"/>
        <w:spacing w:val="0"/>
        <w:w w:val="100"/>
        <w:sz w:val="22"/>
        <w:szCs w:val="22"/>
        <w:lang w:val="uk-UA" w:eastAsia="en-US" w:bidi="ar-SA"/>
      </w:rPr>
    </w:lvl>
    <w:lvl w:ilvl="1" w:tplc="DC6CB9CA">
      <w:numFmt w:val="bullet"/>
      <w:lvlText w:val="-"/>
      <w:lvlJc w:val="left"/>
      <w:pPr>
        <w:ind w:left="595" w:hanging="341"/>
      </w:pPr>
      <w:rPr>
        <w:rFonts w:ascii="Cambria" w:eastAsia="Cambria" w:hAnsi="Cambria" w:cs="Cambria" w:hint="default"/>
        <w:b w:val="0"/>
        <w:bCs w:val="0"/>
        <w:i w:val="0"/>
        <w:iCs w:val="0"/>
        <w:spacing w:val="0"/>
        <w:w w:val="100"/>
        <w:sz w:val="22"/>
        <w:szCs w:val="22"/>
        <w:lang w:val="uk-UA" w:eastAsia="en-US" w:bidi="ar-SA"/>
      </w:rPr>
    </w:lvl>
    <w:lvl w:ilvl="2" w:tplc="3D94D6BC">
      <w:numFmt w:val="bullet"/>
      <w:lvlText w:val="•"/>
      <w:lvlJc w:val="left"/>
      <w:pPr>
        <w:ind w:left="1620" w:hanging="341"/>
      </w:pPr>
      <w:rPr>
        <w:rFonts w:hint="default"/>
        <w:lang w:val="uk-UA" w:eastAsia="en-US" w:bidi="ar-SA"/>
      </w:rPr>
    </w:lvl>
    <w:lvl w:ilvl="3" w:tplc="85D6F29C">
      <w:numFmt w:val="bullet"/>
      <w:lvlText w:val="•"/>
      <w:lvlJc w:val="left"/>
      <w:pPr>
        <w:ind w:left="1363" w:hanging="341"/>
      </w:pPr>
      <w:rPr>
        <w:rFonts w:hint="default"/>
        <w:lang w:val="uk-UA" w:eastAsia="en-US" w:bidi="ar-SA"/>
      </w:rPr>
    </w:lvl>
    <w:lvl w:ilvl="4" w:tplc="F56CB714">
      <w:numFmt w:val="bullet"/>
      <w:lvlText w:val="•"/>
      <w:lvlJc w:val="left"/>
      <w:pPr>
        <w:ind w:left="1106" w:hanging="341"/>
      </w:pPr>
      <w:rPr>
        <w:rFonts w:hint="default"/>
        <w:lang w:val="uk-UA" w:eastAsia="en-US" w:bidi="ar-SA"/>
      </w:rPr>
    </w:lvl>
    <w:lvl w:ilvl="5" w:tplc="16D0914A">
      <w:numFmt w:val="bullet"/>
      <w:lvlText w:val="•"/>
      <w:lvlJc w:val="left"/>
      <w:pPr>
        <w:ind w:left="849" w:hanging="341"/>
      </w:pPr>
      <w:rPr>
        <w:rFonts w:hint="default"/>
        <w:lang w:val="uk-UA" w:eastAsia="en-US" w:bidi="ar-SA"/>
      </w:rPr>
    </w:lvl>
    <w:lvl w:ilvl="6" w:tplc="6E94ADB2">
      <w:numFmt w:val="bullet"/>
      <w:lvlText w:val="•"/>
      <w:lvlJc w:val="left"/>
      <w:pPr>
        <w:ind w:left="592" w:hanging="341"/>
      </w:pPr>
      <w:rPr>
        <w:rFonts w:hint="default"/>
        <w:lang w:val="uk-UA" w:eastAsia="en-US" w:bidi="ar-SA"/>
      </w:rPr>
    </w:lvl>
    <w:lvl w:ilvl="7" w:tplc="F3386C58">
      <w:numFmt w:val="bullet"/>
      <w:lvlText w:val="•"/>
      <w:lvlJc w:val="left"/>
      <w:pPr>
        <w:ind w:left="335" w:hanging="341"/>
      </w:pPr>
      <w:rPr>
        <w:rFonts w:hint="default"/>
        <w:lang w:val="uk-UA" w:eastAsia="en-US" w:bidi="ar-SA"/>
      </w:rPr>
    </w:lvl>
    <w:lvl w:ilvl="8" w:tplc="E512A0B0">
      <w:numFmt w:val="bullet"/>
      <w:lvlText w:val="•"/>
      <w:lvlJc w:val="left"/>
      <w:pPr>
        <w:ind w:left="78" w:hanging="341"/>
      </w:pPr>
      <w:rPr>
        <w:rFonts w:hint="default"/>
        <w:lang w:val="uk-UA" w:eastAsia="en-US" w:bidi="ar-SA"/>
      </w:rPr>
    </w:lvl>
  </w:abstractNum>
  <w:abstractNum w:abstractNumId="44" w15:restartNumberingAfterBreak="0">
    <w:nsid w:val="74692E92"/>
    <w:multiLevelType w:val="hybridMultilevel"/>
    <w:tmpl w:val="2710E530"/>
    <w:lvl w:ilvl="0" w:tplc="55806470">
      <w:numFmt w:val="bullet"/>
      <w:lvlText w:val=""/>
      <w:lvlJc w:val="left"/>
      <w:pPr>
        <w:ind w:left="979" w:hanging="341"/>
      </w:pPr>
      <w:rPr>
        <w:rFonts w:ascii="Wingdings" w:eastAsia="Wingdings" w:hAnsi="Wingdings" w:cs="Wingdings" w:hint="default"/>
        <w:b w:val="0"/>
        <w:bCs w:val="0"/>
        <w:i w:val="0"/>
        <w:iCs w:val="0"/>
        <w:spacing w:val="0"/>
        <w:w w:val="100"/>
        <w:sz w:val="20"/>
        <w:szCs w:val="20"/>
        <w:lang w:val="uk-UA" w:eastAsia="en-US" w:bidi="ar-SA"/>
      </w:rPr>
    </w:lvl>
    <w:lvl w:ilvl="1" w:tplc="DC6CB9CA">
      <w:numFmt w:val="bullet"/>
      <w:lvlText w:val="-"/>
      <w:lvlJc w:val="left"/>
      <w:pPr>
        <w:ind w:left="595" w:hanging="341"/>
      </w:pPr>
      <w:rPr>
        <w:rFonts w:ascii="Cambria" w:eastAsia="Cambria" w:hAnsi="Cambria" w:cs="Cambria" w:hint="default"/>
        <w:b w:val="0"/>
        <w:bCs w:val="0"/>
        <w:i w:val="0"/>
        <w:iCs w:val="0"/>
        <w:spacing w:val="0"/>
        <w:w w:val="100"/>
        <w:sz w:val="22"/>
        <w:szCs w:val="22"/>
        <w:lang w:val="uk-UA" w:eastAsia="en-US" w:bidi="ar-SA"/>
      </w:rPr>
    </w:lvl>
    <w:lvl w:ilvl="2" w:tplc="6DAA7A1A">
      <w:numFmt w:val="bullet"/>
      <w:lvlText w:val="•"/>
      <w:lvlJc w:val="left"/>
      <w:pPr>
        <w:ind w:left="822" w:hanging="341"/>
      </w:pPr>
      <w:rPr>
        <w:rFonts w:hint="default"/>
        <w:lang w:val="uk-UA" w:eastAsia="en-US" w:bidi="ar-SA"/>
      </w:rPr>
    </w:lvl>
    <w:lvl w:ilvl="3" w:tplc="B360D718">
      <w:numFmt w:val="bullet"/>
      <w:lvlText w:val="•"/>
      <w:lvlJc w:val="left"/>
      <w:pPr>
        <w:ind w:left="665" w:hanging="341"/>
      </w:pPr>
      <w:rPr>
        <w:rFonts w:hint="default"/>
        <w:lang w:val="uk-UA" w:eastAsia="en-US" w:bidi="ar-SA"/>
      </w:rPr>
    </w:lvl>
    <w:lvl w:ilvl="4" w:tplc="4418D424">
      <w:numFmt w:val="bullet"/>
      <w:lvlText w:val="•"/>
      <w:lvlJc w:val="left"/>
      <w:pPr>
        <w:ind w:left="507" w:hanging="341"/>
      </w:pPr>
      <w:rPr>
        <w:rFonts w:hint="default"/>
        <w:lang w:val="uk-UA" w:eastAsia="en-US" w:bidi="ar-SA"/>
      </w:rPr>
    </w:lvl>
    <w:lvl w:ilvl="5" w:tplc="0B307D64">
      <w:numFmt w:val="bullet"/>
      <w:lvlText w:val="•"/>
      <w:lvlJc w:val="left"/>
      <w:pPr>
        <w:ind w:left="350" w:hanging="341"/>
      </w:pPr>
      <w:rPr>
        <w:rFonts w:hint="default"/>
        <w:lang w:val="uk-UA" w:eastAsia="en-US" w:bidi="ar-SA"/>
      </w:rPr>
    </w:lvl>
    <w:lvl w:ilvl="6" w:tplc="DBC0F4AE">
      <w:numFmt w:val="bullet"/>
      <w:lvlText w:val="•"/>
      <w:lvlJc w:val="left"/>
      <w:pPr>
        <w:ind w:left="192" w:hanging="341"/>
      </w:pPr>
      <w:rPr>
        <w:rFonts w:hint="default"/>
        <w:lang w:val="uk-UA" w:eastAsia="en-US" w:bidi="ar-SA"/>
      </w:rPr>
    </w:lvl>
    <w:lvl w:ilvl="7" w:tplc="5F70DEDC">
      <w:numFmt w:val="bullet"/>
      <w:lvlText w:val="•"/>
      <w:lvlJc w:val="left"/>
      <w:pPr>
        <w:ind w:left="35" w:hanging="341"/>
      </w:pPr>
      <w:rPr>
        <w:rFonts w:hint="default"/>
        <w:lang w:val="uk-UA" w:eastAsia="en-US" w:bidi="ar-SA"/>
      </w:rPr>
    </w:lvl>
    <w:lvl w:ilvl="8" w:tplc="2E8AB0D2">
      <w:numFmt w:val="bullet"/>
      <w:lvlText w:val="•"/>
      <w:lvlJc w:val="left"/>
      <w:pPr>
        <w:ind w:left="-123" w:hanging="341"/>
      </w:pPr>
      <w:rPr>
        <w:rFonts w:hint="default"/>
        <w:lang w:val="uk-UA" w:eastAsia="en-US" w:bidi="ar-SA"/>
      </w:rPr>
    </w:lvl>
  </w:abstractNum>
  <w:abstractNum w:abstractNumId="45" w15:restartNumberingAfterBreak="0">
    <w:nsid w:val="74F105E2"/>
    <w:multiLevelType w:val="hybridMultilevel"/>
    <w:tmpl w:val="9864A056"/>
    <w:lvl w:ilvl="0" w:tplc="6F660458">
      <w:numFmt w:val="bullet"/>
      <w:lvlText w:val="-"/>
      <w:lvlJc w:val="left"/>
      <w:pPr>
        <w:ind w:left="5641" w:hanging="341"/>
      </w:pPr>
      <w:rPr>
        <w:rFonts w:ascii="Cambria" w:eastAsia="Cambria" w:hAnsi="Cambria" w:cs="Cambria" w:hint="default"/>
        <w:b w:val="0"/>
        <w:bCs w:val="0"/>
        <w:i w:val="0"/>
        <w:iCs w:val="0"/>
        <w:spacing w:val="0"/>
        <w:w w:val="100"/>
        <w:sz w:val="22"/>
        <w:szCs w:val="22"/>
        <w:lang w:val="uk-UA" w:eastAsia="en-US" w:bidi="ar-SA"/>
      </w:rPr>
    </w:lvl>
    <w:lvl w:ilvl="1" w:tplc="DF9CEBCC">
      <w:numFmt w:val="bullet"/>
      <w:lvlText w:val="•"/>
      <w:lvlJc w:val="left"/>
      <w:pPr>
        <w:ind w:left="6124" w:hanging="341"/>
      </w:pPr>
      <w:rPr>
        <w:rFonts w:hint="default"/>
        <w:lang w:val="uk-UA" w:eastAsia="en-US" w:bidi="ar-SA"/>
      </w:rPr>
    </w:lvl>
    <w:lvl w:ilvl="2" w:tplc="9D1E06F0">
      <w:numFmt w:val="bullet"/>
      <w:lvlText w:val="•"/>
      <w:lvlJc w:val="left"/>
      <w:pPr>
        <w:ind w:left="6609" w:hanging="341"/>
      </w:pPr>
      <w:rPr>
        <w:rFonts w:hint="default"/>
        <w:lang w:val="uk-UA" w:eastAsia="en-US" w:bidi="ar-SA"/>
      </w:rPr>
    </w:lvl>
    <w:lvl w:ilvl="3" w:tplc="A8149CBA">
      <w:numFmt w:val="bullet"/>
      <w:lvlText w:val="•"/>
      <w:lvlJc w:val="left"/>
      <w:pPr>
        <w:ind w:left="7094" w:hanging="341"/>
      </w:pPr>
      <w:rPr>
        <w:rFonts w:hint="default"/>
        <w:lang w:val="uk-UA" w:eastAsia="en-US" w:bidi="ar-SA"/>
      </w:rPr>
    </w:lvl>
    <w:lvl w:ilvl="4" w:tplc="3768EA96">
      <w:numFmt w:val="bullet"/>
      <w:lvlText w:val="•"/>
      <w:lvlJc w:val="left"/>
      <w:pPr>
        <w:ind w:left="7579" w:hanging="341"/>
      </w:pPr>
      <w:rPr>
        <w:rFonts w:hint="default"/>
        <w:lang w:val="uk-UA" w:eastAsia="en-US" w:bidi="ar-SA"/>
      </w:rPr>
    </w:lvl>
    <w:lvl w:ilvl="5" w:tplc="33E080CC">
      <w:numFmt w:val="bullet"/>
      <w:lvlText w:val="•"/>
      <w:lvlJc w:val="left"/>
      <w:pPr>
        <w:ind w:left="8064" w:hanging="341"/>
      </w:pPr>
      <w:rPr>
        <w:rFonts w:hint="default"/>
        <w:lang w:val="uk-UA" w:eastAsia="en-US" w:bidi="ar-SA"/>
      </w:rPr>
    </w:lvl>
    <w:lvl w:ilvl="6" w:tplc="9B78D564">
      <w:numFmt w:val="bullet"/>
      <w:lvlText w:val="•"/>
      <w:lvlJc w:val="left"/>
      <w:pPr>
        <w:ind w:left="8549" w:hanging="341"/>
      </w:pPr>
      <w:rPr>
        <w:rFonts w:hint="default"/>
        <w:lang w:val="uk-UA" w:eastAsia="en-US" w:bidi="ar-SA"/>
      </w:rPr>
    </w:lvl>
    <w:lvl w:ilvl="7" w:tplc="D8806636">
      <w:numFmt w:val="bullet"/>
      <w:lvlText w:val="•"/>
      <w:lvlJc w:val="left"/>
      <w:pPr>
        <w:ind w:left="9034" w:hanging="341"/>
      </w:pPr>
      <w:rPr>
        <w:rFonts w:hint="default"/>
        <w:lang w:val="uk-UA" w:eastAsia="en-US" w:bidi="ar-SA"/>
      </w:rPr>
    </w:lvl>
    <w:lvl w:ilvl="8" w:tplc="9E468792">
      <w:numFmt w:val="bullet"/>
      <w:lvlText w:val="•"/>
      <w:lvlJc w:val="left"/>
      <w:pPr>
        <w:ind w:left="9519" w:hanging="341"/>
      </w:pPr>
      <w:rPr>
        <w:rFonts w:hint="default"/>
        <w:lang w:val="uk-UA" w:eastAsia="en-US" w:bidi="ar-SA"/>
      </w:rPr>
    </w:lvl>
  </w:abstractNum>
  <w:abstractNum w:abstractNumId="46" w15:restartNumberingAfterBreak="0">
    <w:nsid w:val="75187D1B"/>
    <w:multiLevelType w:val="hybridMultilevel"/>
    <w:tmpl w:val="6EC623E6"/>
    <w:lvl w:ilvl="0" w:tplc="DC6CB9CA">
      <w:numFmt w:val="bullet"/>
      <w:lvlText w:val="-"/>
      <w:lvlJc w:val="left"/>
      <w:pPr>
        <w:ind w:left="595" w:hanging="341"/>
        <w:jc w:val="right"/>
      </w:pPr>
      <w:rPr>
        <w:rFonts w:ascii="Cambria" w:eastAsia="Cambria" w:hAnsi="Cambria" w:cs="Cambria" w:hint="default"/>
        <w:b w:val="0"/>
        <w:bCs w:val="0"/>
        <w:i w:val="0"/>
        <w:iCs w:val="0"/>
        <w:spacing w:val="0"/>
        <w:w w:val="100"/>
        <w:sz w:val="22"/>
        <w:szCs w:val="22"/>
        <w:lang w:val="uk-UA" w:eastAsia="en-US" w:bidi="ar-SA"/>
      </w:rPr>
    </w:lvl>
    <w:lvl w:ilvl="1" w:tplc="DC6CB9CA">
      <w:numFmt w:val="bullet"/>
      <w:lvlText w:val="-"/>
      <w:lvlJc w:val="left"/>
      <w:pPr>
        <w:ind w:left="992" w:hanging="341"/>
      </w:pPr>
      <w:rPr>
        <w:rFonts w:ascii="Cambria" w:eastAsia="Cambria" w:hAnsi="Cambria" w:cs="Cambria" w:hint="default"/>
        <w:b w:val="0"/>
        <w:bCs w:val="0"/>
        <w:i w:val="0"/>
        <w:iCs w:val="0"/>
        <w:spacing w:val="0"/>
        <w:w w:val="100"/>
        <w:sz w:val="22"/>
        <w:szCs w:val="22"/>
        <w:lang w:val="uk-UA" w:eastAsia="en-US" w:bidi="ar-SA"/>
      </w:rPr>
    </w:lvl>
    <w:lvl w:ilvl="2" w:tplc="F5207352">
      <w:numFmt w:val="bullet"/>
      <w:lvlText w:val="•"/>
      <w:lvlJc w:val="left"/>
      <w:pPr>
        <w:ind w:left="1427" w:hanging="341"/>
      </w:pPr>
      <w:rPr>
        <w:rFonts w:hint="default"/>
        <w:lang w:val="uk-UA" w:eastAsia="en-US" w:bidi="ar-SA"/>
      </w:rPr>
    </w:lvl>
    <w:lvl w:ilvl="3" w:tplc="AEF68146">
      <w:numFmt w:val="bullet"/>
      <w:lvlText w:val="•"/>
      <w:lvlJc w:val="left"/>
      <w:pPr>
        <w:ind w:left="1855" w:hanging="341"/>
      </w:pPr>
      <w:rPr>
        <w:rFonts w:hint="default"/>
        <w:lang w:val="uk-UA" w:eastAsia="en-US" w:bidi="ar-SA"/>
      </w:rPr>
    </w:lvl>
    <w:lvl w:ilvl="4" w:tplc="F9EC5BE0">
      <w:numFmt w:val="bullet"/>
      <w:lvlText w:val="•"/>
      <w:lvlJc w:val="left"/>
      <w:pPr>
        <w:ind w:left="2282" w:hanging="341"/>
      </w:pPr>
      <w:rPr>
        <w:rFonts w:hint="default"/>
        <w:lang w:val="uk-UA" w:eastAsia="en-US" w:bidi="ar-SA"/>
      </w:rPr>
    </w:lvl>
    <w:lvl w:ilvl="5" w:tplc="153AD2BC">
      <w:numFmt w:val="bullet"/>
      <w:lvlText w:val="•"/>
      <w:lvlJc w:val="left"/>
      <w:pPr>
        <w:ind w:left="2710" w:hanging="341"/>
      </w:pPr>
      <w:rPr>
        <w:rFonts w:hint="default"/>
        <w:lang w:val="uk-UA" w:eastAsia="en-US" w:bidi="ar-SA"/>
      </w:rPr>
    </w:lvl>
    <w:lvl w:ilvl="6" w:tplc="0B9CCB38">
      <w:numFmt w:val="bullet"/>
      <w:lvlText w:val="•"/>
      <w:lvlJc w:val="left"/>
      <w:pPr>
        <w:ind w:left="3138" w:hanging="341"/>
      </w:pPr>
      <w:rPr>
        <w:rFonts w:hint="default"/>
        <w:lang w:val="uk-UA" w:eastAsia="en-US" w:bidi="ar-SA"/>
      </w:rPr>
    </w:lvl>
    <w:lvl w:ilvl="7" w:tplc="A2C039F4">
      <w:numFmt w:val="bullet"/>
      <w:lvlText w:val="•"/>
      <w:lvlJc w:val="left"/>
      <w:pPr>
        <w:ind w:left="3565" w:hanging="341"/>
      </w:pPr>
      <w:rPr>
        <w:rFonts w:hint="default"/>
        <w:lang w:val="uk-UA" w:eastAsia="en-US" w:bidi="ar-SA"/>
      </w:rPr>
    </w:lvl>
    <w:lvl w:ilvl="8" w:tplc="965AA0E4">
      <w:numFmt w:val="bullet"/>
      <w:lvlText w:val="•"/>
      <w:lvlJc w:val="left"/>
      <w:pPr>
        <w:ind w:left="3993" w:hanging="341"/>
      </w:pPr>
      <w:rPr>
        <w:rFonts w:hint="default"/>
        <w:lang w:val="uk-UA" w:eastAsia="en-US" w:bidi="ar-SA"/>
      </w:rPr>
    </w:lvl>
  </w:abstractNum>
  <w:abstractNum w:abstractNumId="47" w15:restartNumberingAfterBreak="0">
    <w:nsid w:val="77CE788C"/>
    <w:multiLevelType w:val="hybridMultilevel"/>
    <w:tmpl w:val="EDB02B26"/>
    <w:lvl w:ilvl="0" w:tplc="DC6CB9CA">
      <w:numFmt w:val="bullet"/>
      <w:lvlText w:val="-"/>
      <w:lvlJc w:val="left"/>
      <w:pPr>
        <w:ind w:left="355" w:hanging="341"/>
      </w:pPr>
      <w:rPr>
        <w:rFonts w:ascii="Cambria" w:eastAsia="Cambria" w:hAnsi="Cambria" w:cs="Cambria" w:hint="default"/>
        <w:b w:val="0"/>
        <w:bCs w:val="0"/>
        <w:i w:val="0"/>
        <w:iCs w:val="0"/>
        <w:spacing w:val="0"/>
        <w:w w:val="100"/>
        <w:sz w:val="22"/>
        <w:szCs w:val="22"/>
        <w:lang w:val="uk-UA" w:eastAsia="en-US" w:bidi="ar-SA"/>
      </w:rPr>
    </w:lvl>
    <w:lvl w:ilvl="1" w:tplc="51F6D8DE">
      <w:numFmt w:val="bullet"/>
      <w:lvlText w:val="•"/>
      <w:lvlJc w:val="left"/>
      <w:pPr>
        <w:ind w:left="884" w:hanging="341"/>
      </w:pPr>
      <w:rPr>
        <w:rFonts w:hint="default"/>
        <w:lang w:val="uk-UA" w:eastAsia="en-US" w:bidi="ar-SA"/>
      </w:rPr>
    </w:lvl>
    <w:lvl w:ilvl="2" w:tplc="4E84B6BE">
      <w:numFmt w:val="bullet"/>
      <w:lvlText w:val="•"/>
      <w:lvlJc w:val="left"/>
      <w:pPr>
        <w:ind w:left="1408" w:hanging="341"/>
      </w:pPr>
      <w:rPr>
        <w:rFonts w:hint="default"/>
        <w:lang w:val="uk-UA" w:eastAsia="en-US" w:bidi="ar-SA"/>
      </w:rPr>
    </w:lvl>
    <w:lvl w:ilvl="3" w:tplc="34DAEC28">
      <w:numFmt w:val="bullet"/>
      <w:lvlText w:val="•"/>
      <w:lvlJc w:val="left"/>
      <w:pPr>
        <w:ind w:left="1932" w:hanging="341"/>
      </w:pPr>
      <w:rPr>
        <w:rFonts w:hint="default"/>
        <w:lang w:val="uk-UA" w:eastAsia="en-US" w:bidi="ar-SA"/>
      </w:rPr>
    </w:lvl>
    <w:lvl w:ilvl="4" w:tplc="5630F088">
      <w:numFmt w:val="bullet"/>
      <w:lvlText w:val="•"/>
      <w:lvlJc w:val="left"/>
      <w:pPr>
        <w:ind w:left="2456" w:hanging="341"/>
      </w:pPr>
      <w:rPr>
        <w:rFonts w:hint="default"/>
        <w:lang w:val="uk-UA" w:eastAsia="en-US" w:bidi="ar-SA"/>
      </w:rPr>
    </w:lvl>
    <w:lvl w:ilvl="5" w:tplc="1AF457F0">
      <w:numFmt w:val="bullet"/>
      <w:lvlText w:val="•"/>
      <w:lvlJc w:val="left"/>
      <w:pPr>
        <w:ind w:left="2980" w:hanging="341"/>
      </w:pPr>
      <w:rPr>
        <w:rFonts w:hint="default"/>
        <w:lang w:val="uk-UA" w:eastAsia="en-US" w:bidi="ar-SA"/>
      </w:rPr>
    </w:lvl>
    <w:lvl w:ilvl="6" w:tplc="FC8066AA">
      <w:numFmt w:val="bullet"/>
      <w:lvlText w:val="•"/>
      <w:lvlJc w:val="left"/>
      <w:pPr>
        <w:ind w:left="3504" w:hanging="341"/>
      </w:pPr>
      <w:rPr>
        <w:rFonts w:hint="default"/>
        <w:lang w:val="uk-UA" w:eastAsia="en-US" w:bidi="ar-SA"/>
      </w:rPr>
    </w:lvl>
    <w:lvl w:ilvl="7" w:tplc="F7CAC200">
      <w:numFmt w:val="bullet"/>
      <w:lvlText w:val="•"/>
      <w:lvlJc w:val="left"/>
      <w:pPr>
        <w:ind w:left="4028" w:hanging="341"/>
      </w:pPr>
      <w:rPr>
        <w:rFonts w:hint="default"/>
        <w:lang w:val="uk-UA" w:eastAsia="en-US" w:bidi="ar-SA"/>
      </w:rPr>
    </w:lvl>
    <w:lvl w:ilvl="8" w:tplc="20CEBEC4">
      <w:numFmt w:val="bullet"/>
      <w:lvlText w:val="•"/>
      <w:lvlJc w:val="left"/>
      <w:pPr>
        <w:ind w:left="4552" w:hanging="341"/>
      </w:pPr>
      <w:rPr>
        <w:rFonts w:hint="default"/>
        <w:lang w:val="uk-UA" w:eastAsia="en-US" w:bidi="ar-SA"/>
      </w:rPr>
    </w:lvl>
  </w:abstractNum>
  <w:abstractNum w:abstractNumId="48" w15:restartNumberingAfterBreak="0">
    <w:nsid w:val="7B096BF6"/>
    <w:multiLevelType w:val="hybridMultilevel"/>
    <w:tmpl w:val="00A8A956"/>
    <w:lvl w:ilvl="0" w:tplc="DC6CB9CA">
      <w:numFmt w:val="bullet"/>
      <w:lvlText w:val="-"/>
      <w:lvlJc w:val="left"/>
      <w:pPr>
        <w:ind w:left="992" w:hanging="341"/>
      </w:pPr>
      <w:rPr>
        <w:rFonts w:ascii="Cambria" w:eastAsia="Cambria" w:hAnsi="Cambria" w:cs="Cambria" w:hint="default"/>
        <w:b w:val="0"/>
        <w:bCs w:val="0"/>
        <w:i w:val="0"/>
        <w:iCs w:val="0"/>
        <w:spacing w:val="0"/>
        <w:w w:val="100"/>
        <w:sz w:val="22"/>
        <w:szCs w:val="22"/>
        <w:lang w:val="uk-UA" w:eastAsia="en-US" w:bidi="ar-SA"/>
      </w:rPr>
    </w:lvl>
    <w:lvl w:ilvl="1" w:tplc="BA7491EC">
      <w:numFmt w:val="bullet"/>
      <w:lvlText w:val="•"/>
      <w:lvlJc w:val="left"/>
      <w:pPr>
        <w:ind w:left="1424" w:hanging="341"/>
      </w:pPr>
      <w:rPr>
        <w:rFonts w:hint="default"/>
        <w:lang w:val="uk-UA" w:eastAsia="en-US" w:bidi="ar-SA"/>
      </w:rPr>
    </w:lvl>
    <w:lvl w:ilvl="2" w:tplc="7826DAC8">
      <w:numFmt w:val="bullet"/>
      <w:lvlText w:val="•"/>
      <w:lvlJc w:val="left"/>
      <w:pPr>
        <w:ind w:left="1849" w:hanging="341"/>
      </w:pPr>
      <w:rPr>
        <w:rFonts w:hint="default"/>
        <w:lang w:val="uk-UA" w:eastAsia="en-US" w:bidi="ar-SA"/>
      </w:rPr>
    </w:lvl>
    <w:lvl w:ilvl="3" w:tplc="DF1497C6">
      <w:numFmt w:val="bullet"/>
      <w:lvlText w:val="•"/>
      <w:lvlJc w:val="left"/>
      <w:pPr>
        <w:ind w:left="2273" w:hanging="341"/>
      </w:pPr>
      <w:rPr>
        <w:rFonts w:hint="default"/>
        <w:lang w:val="uk-UA" w:eastAsia="en-US" w:bidi="ar-SA"/>
      </w:rPr>
    </w:lvl>
    <w:lvl w:ilvl="4" w:tplc="F48415E8">
      <w:numFmt w:val="bullet"/>
      <w:lvlText w:val="•"/>
      <w:lvlJc w:val="left"/>
      <w:pPr>
        <w:ind w:left="2698" w:hanging="341"/>
      </w:pPr>
      <w:rPr>
        <w:rFonts w:hint="default"/>
        <w:lang w:val="uk-UA" w:eastAsia="en-US" w:bidi="ar-SA"/>
      </w:rPr>
    </w:lvl>
    <w:lvl w:ilvl="5" w:tplc="C0D076F4">
      <w:numFmt w:val="bullet"/>
      <w:lvlText w:val="•"/>
      <w:lvlJc w:val="left"/>
      <w:pPr>
        <w:ind w:left="3122" w:hanging="341"/>
      </w:pPr>
      <w:rPr>
        <w:rFonts w:hint="default"/>
        <w:lang w:val="uk-UA" w:eastAsia="en-US" w:bidi="ar-SA"/>
      </w:rPr>
    </w:lvl>
    <w:lvl w:ilvl="6" w:tplc="1406B056">
      <w:numFmt w:val="bullet"/>
      <w:lvlText w:val="•"/>
      <w:lvlJc w:val="left"/>
      <w:pPr>
        <w:ind w:left="3547" w:hanging="341"/>
      </w:pPr>
      <w:rPr>
        <w:rFonts w:hint="default"/>
        <w:lang w:val="uk-UA" w:eastAsia="en-US" w:bidi="ar-SA"/>
      </w:rPr>
    </w:lvl>
    <w:lvl w:ilvl="7" w:tplc="7B3C3B42">
      <w:numFmt w:val="bullet"/>
      <w:lvlText w:val="•"/>
      <w:lvlJc w:val="left"/>
      <w:pPr>
        <w:ind w:left="3971" w:hanging="341"/>
      </w:pPr>
      <w:rPr>
        <w:rFonts w:hint="default"/>
        <w:lang w:val="uk-UA" w:eastAsia="en-US" w:bidi="ar-SA"/>
      </w:rPr>
    </w:lvl>
    <w:lvl w:ilvl="8" w:tplc="B474362A">
      <w:numFmt w:val="bullet"/>
      <w:lvlText w:val="•"/>
      <w:lvlJc w:val="left"/>
      <w:pPr>
        <w:ind w:left="4396" w:hanging="341"/>
      </w:pPr>
      <w:rPr>
        <w:rFonts w:hint="default"/>
        <w:lang w:val="uk-UA" w:eastAsia="en-US" w:bidi="ar-SA"/>
      </w:rPr>
    </w:lvl>
  </w:abstractNum>
  <w:abstractNum w:abstractNumId="49" w15:restartNumberingAfterBreak="0">
    <w:nsid w:val="7C6B5682"/>
    <w:multiLevelType w:val="hybridMultilevel"/>
    <w:tmpl w:val="F5F0BE04"/>
    <w:lvl w:ilvl="0" w:tplc="DC6CB9CA">
      <w:numFmt w:val="bullet"/>
      <w:lvlText w:val="-"/>
      <w:lvlJc w:val="left"/>
      <w:pPr>
        <w:ind w:left="595" w:hanging="341"/>
      </w:pPr>
      <w:rPr>
        <w:rFonts w:ascii="Cambria" w:eastAsia="Cambria" w:hAnsi="Cambria" w:cs="Cambria" w:hint="default"/>
        <w:b w:val="0"/>
        <w:bCs w:val="0"/>
        <w:i w:val="0"/>
        <w:iCs w:val="0"/>
        <w:spacing w:val="0"/>
        <w:w w:val="100"/>
        <w:sz w:val="22"/>
        <w:szCs w:val="22"/>
        <w:lang w:val="uk-UA" w:eastAsia="en-US" w:bidi="ar-SA"/>
      </w:rPr>
    </w:lvl>
    <w:lvl w:ilvl="1" w:tplc="16FE533A">
      <w:numFmt w:val="bullet"/>
      <w:lvlText w:val=""/>
      <w:lvlJc w:val="left"/>
      <w:pPr>
        <w:ind w:left="992" w:hanging="341"/>
      </w:pPr>
      <w:rPr>
        <w:rFonts w:ascii="Wingdings" w:eastAsia="Wingdings" w:hAnsi="Wingdings" w:cs="Wingdings" w:hint="default"/>
        <w:b w:val="0"/>
        <w:bCs w:val="0"/>
        <w:i w:val="0"/>
        <w:iCs w:val="0"/>
        <w:spacing w:val="0"/>
        <w:w w:val="100"/>
        <w:sz w:val="22"/>
        <w:szCs w:val="22"/>
        <w:lang w:val="uk-UA" w:eastAsia="en-US" w:bidi="ar-SA"/>
      </w:rPr>
    </w:lvl>
    <w:lvl w:ilvl="2" w:tplc="30B64020">
      <w:numFmt w:val="bullet"/>
      <w:lvlText w:val="•"/>
      <w:lvlJc w:val="left"/>
      <w:pPr>
        <w:ind w:left="1427" w:hanging="341"/>
      </w:pPr>
      <w:rPr>
        <w:rFonts w:hint="default"/>
        <w:lang w:val="uk-UA" w:eastAsia="en-US" w:bidi="ar-SA"/>
      </w:rPr>
    </w:lvl>
    <w:lvl w:ilvl="3" w:tplc="6FC2C2E6">
      <w:numFmt w:val="bullet"/>
      <w:lvlText w:val="•"/>
      <w:lvlJc w:val="left"/>
      <w:pPr>
        <w:ind w:left="1855" w:hanging="341"/>
      </w:pPr>
      <w:rPr>
        <w:rFonts w:hint="default"/>
        <w:lang w:val="uk-UA" w:eastAsia="en-US" w:bidi="ar-SA"/>
      </w:rPr>
    </w:lvl>
    <w:lvl w:ilvl="4" w:tplc="941ECE6A">
      <w:numFmt w:val="bullet"/>
      <w:lvlText w:val="•"/>
      <w:lvlJc w:val="left"/>
      <w:pPr>
        <w:ind w:left="2282" w:hanging="341"/>
      </w:pPr>
      <w:rPr>
        <w:rFonts w:hint="default"/>
        <w:lang w:val="uk-UA" w:eastAsia="en-US" w:bidi="ar-SA"/>
      </w:rPr>
    </w:lvl>
    <w:lvl w:ilvl="5" w:tplc="70E6AA60">
      <w:numFmt w:val="bullet"/>
      <w:lvlText w:val="•"/>
      <w:lvlJc w:val="left"/>
      <w:pPr>
        <w:ind w:left="2710" w:hanging="341"/>
      </w:pPr>
      <w:rPr>
        <w:rFonts w:hint="default"/>
        <w:lang w:val="uk-UA" w:eastAsia="en-US" w:bidi="ar-SA"/>
      </w:rPr>
    </w:lvl>
    <w:lvl w:ilvl="6" w:tplc="B808BD52">
      <w:numFmt w:val="bullet"/>
      <w:lvlText w:val="•"/>
      <w:lvlJc w:val="left"/>
      <w:pPr>
        <w:ind w:left="3137" w:hanging="341"/>
      </w:pPr>
      <w:rPr>
        <w:rFonts w:hint="default"/>
        <w:lang w:val="uk-UA" w:eastAsia="en-US" w:bidi="ar-SA"/>
      </w:rPr>
    </w:lvl>
    <w:lvl w:ilvl="7" w:tplc="748A54D6">
      <w:numFmt w:val="bullet"/>
      <w:lvlText w:val="•"/>
      <w:lvlJc w:val="left"/>
      <w:pPr>
        <w:ind w:left="3565" w:hanging="341"/>
      </w:pPr>
      <w:rPr>
        <w:rFonts w:hint="default"/>
        <w:lang w:val="uk-UA" w:eastAsia="en-US" w:bidi="ar-SA"/>
      </w:rPr>
    </w:lvl>
    <w:lvl w:ilvl="8" w:tplc="31A4D51A">
      <w:numFmt w:val="bullet"/>
      <w:lvlText w:val="•"/>
      <w:lvlJc w:val="left"/>
      <w:pPr>
        <w:ind w:left="3993" w:hanging="341"/>
      </w:pPr>
      <w:rPr>
        <w:rFonts w:hint="default"/>
        <w:lang w:val="uk-UA" w:eastAsia="en-US" w:bidi="ar-SA"/>
      </w:rPr>
    </w:lvl>
  </w:abstractNum>
  <w:num w:numId="1">
    <w:abstractNumId w:val="10"/>
  </w:num>
  <w:num w:numId="2">
    <w:abstractNumId w:val="28"/>
  </w:num>
  <w:num w:numId="3">
    <w:abstractNumId w:val="37"/>
  </w:num>
  <w:num w:numId="4">
    <w:abstractNumId w:val="27"/>
  </w:num>
  <w:num w:numId="5">
    <w:abstractNumId w:val="35"/>
  </w:num>
  <w:num w:numId="6">
    <w:abstractNumId w:val="18"/>
  </w:num>
  <w:num w:numId="7">
    <w:abstractNumId w:val="13"/>
  </w:num>
  <w:num w:numId="8">
    <w:abstractNumId w:val="39"/>
  </w:num>
  <w:num w:numId="9">
    <w:abstractNumId w:val="42"/>
  </w:num>
  <w:num w:numId="10">
    <w:abstractNumId w:val="31"/>
  </w:num>
  <w:num w:numId="11">
    <w:abstractNumId w:val="3"/>
  </w:num>
  <w:num w:numId="12">
    <w:abstractNumId w:val="46"/>
  </w:num>
  <w:num w:numId="13">
    <w:abstractNumId w:val="41"/>
  </w:num>
  <w:num w:numId="14">
    <w:abstractNumId w:val="19"/>
  </w:num>
  <w:num w:numId="15">
    <w:abstractNumId w:val="34"/>
  </w:num>
  <w:num w:numId="16">
    <w:abstractNumId w:val="33"/>
  </w:num>
  <w:num w:numId="17">
    <w:abstractNumId w:val="26"/>
  </w:num>
  <w:num w:numId="18">
    <w:abstractNumId w:val="0"/>
  </w:num>
  <w:num w:numId="19">
    <w:abstractNumId w:val="12"/>
  </w:num>
  <w:num w:numId="20">
    <w:abstractNumId w:val="45"/>
  </w:num>
  <w:num w:numId="21">
    <w:abstractNumId w:val="17"/>
  </w:num>
  <w:num w:numId="22">
    <w:abstractNumId w:val="38"/>
  </w:num>
  <w:num w:numId="23">
    <w:abstractNumId w:val="36"/>
  </w:num>
  <w:num w:numId="24">
    <w:abstractNumId w:val="2"/>
  </w:num>
  <w:num w:numId="25">
    <w:abstractNumId w:val="44"/>
  </w:num>
  <w:num w:numId="26">
    <w:abstractNumId w:val="43"/>
  </w:num>
  <w:num w:numId="27">
    <w:abstractNumId w:val="40"/>
  </w:num>
  <w:num w:numId="28">
    <w:abstractNumId w:val="5"/>
  </w:num>
  <w:num w:numId="29">
    <w:abstractNumId w:val="20"/>
  </w:num>
  <w:num w:numId="30">
    <w:abstractNumId w:val="4"/>
  </w:num>
  <w:num w:numId="31">
    <w:abstractNumId w:val="22"/>
  </w:num>
  <w:num w:numId="32">
    <w:abstractNumId w:val="29"/>
  </w:num>
  <w:num w:numId="33">
    <w:abstractNumId w:val="24"/>
  </w:num>
  <w:num w:numId="34">
    <w:abstractNumId w:val="7"/>
  </w:num>
  <w:num w:numId="35">
    <w:abstractNumId w:val="32"/>
  </w:num>
  <w:num w:numId="36">
    <w:abstractNumId w:val="23"/>
  </w:num>
  <w:num w:numId="37">
    <w:abstractNumId w:val="14"/>
  </w:num>
  <w:num w:numId="38">
    <w:abstractNumId w:val="16"/>
  </w:num>
  <w:num w:numId="39">
    <w:abstractNumId w:val="49"/>
  </w:num>
  <w:num w:numId="40">
    <w:abstractNumId w:val="47"/>
  </w:num>
  <w:num w:numId="41">
    <w:abstractNumId w:val="48"/>
  </w:num>
  <w:num w:numId="42">
    <w:abstractNumId w:val="15"/>
  </w:num>
  <w:num w:numId="43">
    <w:abstractNumId w:val="25"/>
  </w:num>
  <w:num w:numId="44">
    <w:abstractNumId w:val="6"/>
  </w:num>
  <w:num w:numId="45">
    <w:abstractNumId w:val="9"/>
  </w:num>
  <w:num w:numId="46">
    <w:abstractNumId w:val="11"/>
  </w:num>
  <w:num w:numId="47">
    <w:abstractNumId w:val="30"/>
  </w:num>
  <w:num w:numId="48">
    <w:abstractNumId w:val="8"/>
  </w:num>
  <w:num w:numId="49">
    <w:abstractNumId w:val="1"/>
  </w:num>
  <w:num w:numId="50">
    <w:abstractNumId w:val="21"/>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08"/>
  <w:hyphenationZone w:val="425"/>
  <w:doNotHyphenateCap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404A"/>
    <w:rsid w:val="00003542"/>
    <w:rsid w:val="00007541"/>
    <w:rsid w:val="0001081C"/>
    <w:rsid w:val="00021C47"/>
    <w:rsid w:val="00023A23"/>
    <w:rsid w:val="00030A38"/>
    <w:rsid w:val="00030DC0"/>
    <w:rsid w:val="00031C2F"/>
    <w:rsid w:val="00050603"/>
    <w:rsid w:val="00051454"/>
    <w:rsid w:val="00052C66"/>
    <w:rsid w:val="00054256"/>
    <w:rsid w:val="00060C0C"/>
    <w:rsid w:val="00062E7C"/>
    <w:rsid w:val="00070982"/>
    <w:rsid w:val="00071B2E"/>
    <w:rsid w:val="000729AD"/>
    <w:rsid w:val="00073060"/>
    <w:rsid w:val="00077757"/>
    <w:rsid w:val="0008704A"/>
    <w:rsid w:val="00094A39"/>
    <w:rsid w:val="0009652F"/>
    <w:rsid w:val="000A34A4"/>
    <w:rsid w:val="000A3812"/>
    <w:rsid w:val="000B0D80"/>
    <w:rsid w:val="000B1184"/>
    <w:rsid w:val="000B25EC"/>
    <w:rsid w:val="000B2F0F"/>
    <w:rsid w:val="000D37FE"/>
    <w:rsid w:val="000F0511"/>
    <w:rsid w:val="000F51C8"/>
    <w:rsid w:val="000F5B01"/>
    <w:rsid w:val="00104C04"/>
    <w:rsid w:val="00113C57"/>
    <w:rsid w:val="00113D1E"/>
    <w:rsid w:val="0012192B"/>
    <w:rsid w:val="00121FC0"/>
    <w:rsid w:val="00132B76"/>
    <w:rsid w:val="001418BA"/>
    <w:rsid w:val="00141B6B"/>
    <w:rsid w:val="00154A55"/>
    <w:rsid w:val="001570BC"/>
    <w:rsid w:val="0016003B"/>
    <w:rsid w:val="0016065C"/>
    <w:rsid w:val="00165868"/>
    <w:rsid w:val="001706BC"/>
    <w:rsid w:val="00190C60"/>
    <w:rsid w:val="001A255C"/>
    <w:rsid w:val="001C7E13"/>
    <w:rsid w:val="001D5085"/>
    <w:rsid w:val="001E724D"/>
    <w:rsid w:val="001F54F2"/>
    <w:rsid w:val="001F579F"/>
    <w:rsid w:val="00201F26"/>
    <w:rsid w:val="00202C28"/>
    <w:rsid w:val="0020690C"/>
    <w:rsid w:val="00207C4E"/>
    <w:rsid w:val="00207F3D"/>
    <w:rsid w:val="00213576"/>
    <w:rsid w:val="00225704"/>
    <w:rsid w:val="00226F0E"/>
    <w:rsid w:val="00226FAD"/>
    <w:rsid w:val="0024429C"/>
    <w:rsid w:val="00265D4E"/>
    <w:rsid w:val="00270C90"/>
    <w:rsid w:val="00270D43"/>
    <w:rsid w:val="002766F2"/>
    <w:rsid w:val="002816AF"/>
    <w:rsid w:val="0029330F"/>
    <w:rsid w:val="00295683"/>
    <w:rsid w:val="00296241"/>
    <w:rsid w:val="002A056A"/>
    <w:rsid w:val="002A1064"/>
    <w:rsid w:val="002A6874"/>
    <w:rsid w:val="002B5203"/>
    <w:rsid w:val="002B62B6"/>
    <w:rsid w:val="002C3690"/>
    <w:rsid w:val="002C7490"/>
    <w:rsid w:val="002D040B"/>
    <w:rsid w:val="002F0C66"/>
    <w:rsid w:val="002F4B9A"/>
    <w:rsid w:val="002F5AE5"/>
    <w:rsid w:val="002F5B76"/>
    <w:rsid w:val="00300006"/>
    <w:rsid w:val="00323493"/>
    <w:rsid w:val="003237DE"/>
    <w:rsid w:val="00331499"/>
    <w:rsid w:val="00332522"/>
    <w:rsid w:val="00332FA3"/>
    <w:rsid w:val="003336C6"/>
    <w:rsid w:val="00337486"/>
    <w:rsid w:val="00344DCA"/>
    <w:rsid w:val="003667A9"/>
    <w:rsid w:val="003751DB"/>
    <w:rsid w:val="00384FDF"/>
    <w:rsid w:val="00385DE3"/>
    <w:rsid w:val="00395918"/>
    <w:rsid w:val="003B560A"/>
    <w:rsid w:val="003B7034"/>
    <w:rsid w:val="003D2B7D"/>
    <w:rsid w:val="003D5A49"/>
    <w:rsid w:val="003D5F00"/>
    <w:rsid w:val="003E2762"/>
    <w:rsid w:val="004055E4"/>
    <w:rsid w:val="0041009D"/>
    <w:rsid w:val="00414F92"/>
    <w:rsid w:val="00432A4D"/>
    <w:rsid w:val="004336FE"/>
    <w:rsid w:val="004344FD"/>
    <w:rsid w:val="00435027"/>
    <w:rsid w:val="00437BD5"/>
    <w:rsid w:val="00441F8C"/>
    <w:rsid w:val="00443779"/>
    <w:rsid w:val="0044505E"/>
    <w:rsid w:val="00447332"/>
    <w:rsid w:val="004578CA"/>
    <w:rsid w:val="004645C2"/>
    <w:rsid w:val="00466CF8"/>
    <w:rsid w:val="00470EF5"/>
    <w:rsid w:val="00474FDE"/>
    <w:rsid w:val="00476542"/>
    <w:rsid w:val="00483CFA"/>
    <w:rsid w:val="004A2506"/>
    <w:rsid w:val="004A46CF"/>
    <w:rsid w:val="004A7707"/>
    <w:rsid w:val="004C1C8A"/>
    <w:rsid w:val="004C3058"/>
    <w:rsid w:val="004C316A"/>
    <w:rsid w:val="004C33C5"/>
    <w:rsid w:val="004D1D42"/>
    <w:rsid w:val="004F2E9B"/>
    <w:rsid w:val="005047BD"/>
    <w:rsid w:val="005177C1"/>
    <w:rsid w:val="00520753"/>
    <w:rsid w:val="005277A7"/>
    <w:rsid w:val="00544DF7"/>
    <w:rsid w:val="00545A72"/>
    <w:rsid w:val="00555834"/>
    <w:rsid w:val="00556CE2"/>
    <w:rsid w:val="005626F6"/>
    <w:rsid w:val="00564C83"/>
    <w:rsid w:val="00574753"/>
    <w:rsid w:val="00581E85"/>
    <w:rsid w:val="00582C11"/>
    <w:rsid w:val="00586A7E"/>
    <w:rsid w:val="0059234C"/>
    <w:rsid w:val="005A0684"/>
    <w:rsid w:val="005C4FDA"/>
    <w:rsid w:val="005D1D04"/>
    <w:rsid w:val="005F2DB7"/>
    <w:rsid w:val="00601D5B"/>
    <w:rsid w:val="006024FE"/>
    <w:rsid w:val="006052E9"/>
    <w:rsid w:val="00605DD1"/>
    <w:rsid w:val="00612D17"/>
    <w:rsid w:val="006141F8"/>
    <w:rsid w:val="0062230A"/>
    <w:rsid w:val="00624042"/>
    <w:rsid w:val="00633085"/>
    <w:rsid w:val="00640C49"/>
    <w:rsid w:val="00642FF8"/>
    <w:rsid w:val="00646BA4"/>
    <w:rsid w:val="00662914"/>
    <w:rsid w:val="006635DC"/>
    <w:rsid w:val="0066371D"/>
    <w:rsid w:val="00674FB0"/>
    <w:rsid w:val="00683D62"/>
    <w:rsid w:val="00693D31"/>
    <w:rsid w:val="006A0859"/>
    <w:rsid w:val="006A3179"/>
    <w:rsid w:val="006A32E7"/>
    <w:rsid w:val="006A572C"/>
    <w:rsid w:val="006A6844"/>
    <w:rsid w:val="006B062A"/>
    <w:rsid w:val="006C2825"/>
    <w:rsid w:val="00702604"/>
    <w:rsid w:val="00703D33"/>
    <w:rsid w:val="00713018"/>
    <w:rsid w:val="0071311D"/>
    <w:rsid w:val="00727BB6"/>
    <w:rsid w:val="007300C6"/>
    <w:rsid w:val="00732FA2"/>
    <w:rsid w:val="0073794C"/>
    <w:rsid w:val="00780268"/>
    <w:rsid w:val="00781FB5"/>
    <w:rsid w:val="007A0DB8"/>
    <w:rsid w:val="007A6FCB"/>
    <w:rsid w:val="007C380D"/>
    <w:rsid w:val="007E436B"/>
    <w:rsid w:val="007E7C92"/>
    <w:rsid w:val="007F5322"/>
    <w:rsid w:val="0080326A"/>
    <w:rsid w:val="00810243"/>
    <w:rsid w:val="00812F13"/>
    <w:rsid w:val="00816776"/>
    <w:rsid w:val="00821F04"/>
    <w:rsid w:val="00832977"/>
    <w:rsid w:val="00833FAB"/>
    <w:rsid w:val="008403D0"/>
    <w:rsid w:val="008523A3"/>
    <w:rsid w:val="00853A21"/>
    <w:rsid w:val="008739B4"/>
    <w:rsid w:val="00874A0D"/>
    <w:rsid w:val="00884A71"/>
    <w:rsid w:val="00896C01"/>
    <w:rsid w:val="008970A3"/>
    <w:rsid w:val="00897647"/>
    <w:rsid w:val="008B6F2E"/>
    <w:rsid w:val="008C386E"/>
    <w:rsid w:val="008C55AB"/>
    <w:rsid w:val="008C60A1"/>
    <w:rsid w:val="008C662E"/>
    <w:rsid w:val="008E3C4D"/>
    <w:rsid w:val="008E7C73"/>
    <w:rsid w:val="008F46D2"/>
    <w:rsid w:val="00907666"/>
    <w:rsid w:val="0091214E"/>
    <w:rsid w:val="009163AA"/>
    <w:rsid w:val="0093587C"/>
    <w:rsid w:val="00943D70"/>
    <w:rsid w:val="00943F43"/>
    <w:rsid w:val="009600F8"/>
    <w:rsid w:val="009646F1"/>
    <w:rsid w:val="009672D9"/>
    <w:rsid w:val="0097382E"/>
    <w:rsid w:val="0097427C"/>
    <w:rsid w:val="00976537"/>
    <w:rsid w:val="00984A23"/>
    <w:rsid w:val="00984ECA"/>
    <w:rsid w:val="009B0C0B"/>
    <w:rsid w:val="009B4660"/>
    <w:rsid w:val="009C178D"/>
    <w:rsid w:val="009C2BC3"/>
    <w:rsid w:val="009C73E7"/>
    <w:rsid w:val="009D1E79"/>
    <w:rsid w:val="009D1E85"/>
    <w:rsid w:val="009E4740"/>
    <w:rsid w:val="009E6E4A"/>
    <w:rsid w:val="009E7050"/>
    <w:rsid w:val="009F0A2C"/>
    <w:rsid w:val="009F0D66"/>
    <w:rsid w:val="009F2814"/>
    <w:rsid w:val="009F6390"/>
    <w:rsid w:val="00A1205E"/>
    <w:rsid w:val="00A164FF"/>
    <w:rsid w:val="00A31B4A"/>
    <w:rsid w:val="00A375EE"/>
    <w:rsid w:val="00A60641"/>
    <w:rsid w:val="00A6446B"/>
    <w:rsid w:val="00A64B64"/>
    <w:rsid w:val="00A808E7"/>
    <w:rsid w:val="00AA09A7"/>
    <w:rsid w:val="00AB4822"/>
    <w:rsid w:val="00AB5482"/>
    <w:rsid w:val="00AB7DDD"/>
    <w:rsid w:val="00AC569C"/>
    <w:rsid w:val="00AE2C7B"/>
    <w:rsid w:val="00B01A95"/>
    <w:rsid w:val="00B04D8C"/>
    <w:rsid w:val="00B064CA"/>
    <w:rsid w:val="00B26B99"/>
    <w:rsid w:val="00B354F6"/>
    <w:rsid w:val="00B356B0"/>
    <w:rsid w:val="00B56384"/>
    <w:rsid w:val="00B6404A"/>
    <w:rsid w:val="00B70AD9"/>
    <w:rsid w:val="00B72DF7"/>
    <w:rsid w:val="00B7775F"/>
    <w:rsid w:val="00B8290E"/>
    <w:rsid w:val="00B8436F"/>
    <w:rsid w:val="00B92A95"/>
    <w:rsid w:val="00B94718"/>
    <w:rsid w:val="00B95AAF"/>
    <w:rsid w:val="00B96F16"/>
    <w:rsid w:val="00BB48EE"/>
    <w:rsid w:val="00BB4A10"/>
    <w:rsid w:val="00BC0B00"/>
    <w:rsid w:val="00BC0EA6"/>
    <w:rsid w:val="00BC4822"/>
    <w:rsid w:val="00BD1252"/>
    <w:rsid w:val="00BF445F"/>
    <w:rsid w:val="00C00485"/>
    <w:rsid w:val="00C10137"/>
    <w:rsid w:val="00C11F2C"/>
    <w:rsid w:val="00C16A81"/>
    <w:rsid w:val="00C25512"/>
    <w:rsid w:val="00C27799"/>
    <w:rsid w:val="00C37221"/>
    <w:rsid w:val="00C37F1C"/>
    <w:rsid w:val="00C40C09"/>
    <w:rsid w:val="00C42196"/>
    <w:rsid w:val="00C42464"/>
    <w:rsid w:val="00C42F3A"/>
    <w:rsid w:val="00C4303A"/>
    <w:rsid w:val="00C50434"/>
    <w:rsid w:val="00C553CC"/>
    <w:rsid w:val="00C55440"/>
    <w:rsid w:val="00C62DA9"/>
    <w:rsid w:val="00C709A7"/>
    <w:rsid w:val="00C7303F"/>
    <w:rsid w:val="00C91C46"/>
    <w:rsid w:val="00CB251C"/>
    <w:rsid w:val="00CB5DE3"/>
    <w:rsid w:val="00CC4540"/>
    <w:rsid w:val="00CC4B72"/>
    <w:rsid w:val="00CC7E1D"/>
    <w:rsid w:val="00CD0F11"/>
    <w:rsid w:val="00CD4B47"/>
    <w:rsid w:val="00CD5A8D"/>
    <w:rsid w:val="00CD5BA7"/>
    <w:rsid w:val="00CE69FF"/>
    <w:rsid w:val="00CF3C02"/>
    <w:rsid w:val="00CF642B"/>
    <w:rsid w:val="00D21417"/>
    <w:rsid w:val="00D22774"/>
    <w:rsid w:val="00D27C86"/>
    <w:rsid w:val="00D43A8E"/>
    <w:rsid w:val="00D61102"/>
    <w:rsid w:val="00D74FF0"/>
    <w:rsid w:val="00D75579"/>
    <w:rsid w:val="00D77F66"/>
    <w:rsid w:val="00D82793"/>
    <w:rsid w:val="00D878C2"/>
    <w:rsid w:val="00D975C2"/>
    <w:rsid w:val="00DA52C0"/>
    <w:rsid w:val="00DB2A77"/>
    <w:rsid w:val="00DB4272"/>
    <w:rsid w:val="00DB4574"/>
    <w:rsid w:val="00E0118B"/>
    <w:rsid w:val="00E06906"/>
    <w:rsid w:val="00E13146"/>
    <w:rsid w:val="00E2045F"/>
    <w:rsid w:val="00E21F18"/>
    <w:rsid w:val="00E246CF"/>
    <w:rsid w:val="00E2533D"/>
    <w:rsid w:val="00E437B5"/>
    <w:rsid w:val="00E44B2B"/>
    <w:rsid w:val="00E62C33"/>
    <w:rsid w:val="00E661DD"/>
    <w:rsid w:val="00E81C0B"/>
    <w:rsid w:val="00E9214E"/>
    <w:rsid w:val="00EA0EE7"/>
    <w:rsid w:val="00EA2F2F"/>
    <w:rsid w:val="00EB5E13"/>
    <w:rsid w:val="00EC4E9E"/>
    <w:rsid w:val="00EC6A37"/>
    <w:rsid w:val="00EC6BED"/>
    <w:rsid w:val="00EC7729"/>
    <w:rsid w:val="00ED5A6F"/>
    <w:rsid w:val="00EE4B53"/>
    <w:rsid w:val="00EF3817"/>
    <w:rsid w:val="00F0108F"/>
    <w:rsid w:val="00F04F76"/>
    <w:rsid w:val="00F1240A"/>
    <w:rsid w:val="00F13730"/>
    <w:rsid w:val="00F23611"/>
    <w:rsid w:val="00F23AAB"/>
    <w:rsid w:val="00F30865"/>
    <w:rsid w:val="00F35458"/>
    <w:rsid w:val="00F5284B"/>
    <w:rsid w:val="00F56BD2"/>
    <w:rsid w:val="00F86C96"/>
    <w:rsid w:val="00F947F2"/>
    <w:rsid w:val="00FA6450"/>
    <w:rsid w:val="00FB3005"/>
    <w:rsid w:val="00FC79C8"/>
    <w:rsid w:val="00FE63B2"/>
    <w:rsid w:val="00FE642D"/>
    <w:rsid w:val="00FF19A9"/>
    <w:rsid w:val="00FF32DA"/>
    <w:rsid w:val="00FF3B82"/>
    <w:rsid w:val="00FF74EB"/>
    <w:rsid w:val="00FF75BB"/>
  </w:rsids>
  <m:mathPr>
    <m:mathFont m:val="Cambria Math"/>
    <m:brkBin m:val="before"/>
    <m:brkBinSub m:val="--"/>
    <m:smallFrac m:val="0"/>
    <m:dispDef/>
    <m:lMargin m:val="0"/>
    <m:rMargin m:val="0"/>
    <m:defJc m:val="centerGroup"/>
    <m:wrapRight/>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A9B7A1"/>
  <w15:chartTrackingRefBased/>
  <w15:docId w15:val="{B9E47837-D5B4-4DD8-ADFD-F8DE1A9B64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uk-UA"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FA6450"/>
    <w:pPr>
      <w:widowControl w:val="0"/>
      <w:autoSpaceDE w:val="0"/>
      <w:autoSpaceDN w:val="0"/>
      <w:spacing w:before="293" w:after="0" w:line="240" w:lineRule="auto"/>
      <w:ind w:left="791" w:right="395"/>
      <w:jc w:val="center"/>
      <w:outlineLvl w:val="0"/>
    </w:pPr>
    <w:rPr>
      <w:rFonts w:ascii="Times New Roman" w:eastAsia="Times New Roman" w:hAnsi="Times New Roman" w:cs="Times New Roman"/>
      <w:b/>
      <w:bCs/>
      <w:sz w:val="36"/>
      <w:szCs w:val="36"/>
      <w:lang w:eastAsia="en-US"/>
    </w:rPr>
  </w:style>
  <w:style w:type="paragraph" w:styleId="Heading2">
    <w:name w:val="heading 2"/>
    <w:basedOn w:val="Normal"/>
    <w:link w:val="Heading2Char"/>
    <w:uiPriority w:val="9"/>
    <w:unhideWhenUsed/>
    <w:qFormat/>
    <w:rsid w:val="00FA6450"/>
    <w:pPr>
      <w:widowControl w:val="0"/>
      <w:autoSpaceDE w:val="0"/>
      <w:autoSpaceDN w:val="0"/>
      <w:spacing w:after="0" w:line="240" w:lineRule="auto"/>
      <w:jc w:val="center"/>
      <w:outlineLvl w:val="1"/>
    </w:pPr>
    <w:rPr>
      <w:rFonts w:ascii="Microsoft Sans Serif" w:eastAsia="Microsoft Sans Serif" w:hAnsi="Microsoft Sans Serif" w:cs="Microsoft Sans Serif"/>
      <w:sz w:val="36"/>
      <w:szCs w:val="36"/>
      <w:lang w:eastAsia="en-US"/>
    </w:rPr>
  </w:style>
  <w:style w:type="paragraph" w:styleId="Heading3">
    <w:name w:val="heading 3"/>
    <w:basedOn w:val="Normal"/>
    <w:link w:val="Heading3Char"/>
    <w:uiPriority w:val="9"/>
    <w:unhideWhenUsed/>
    <w:qFormat/>
    <w:rsid w:val="00FA6450"/>
    <w:pPr>
      <w:widowControl w:val="0"/>
      <w:autoSpaceDE w:val="0"/>
      <w:autoSpaceDN w:val="0"/>
      <w:spacing w:before="309" w:after="0" w:line="240" w:lineRule="auto"/>
      <w:ind w:left="1276"/>
      <w:outlineLvl w:val="2"/>
    </w:pPr>
    <w:rPr>
      <w:rFonts w:ascii="Cambria" w:eastAsia="Cambria" w:hAnsi="Cambria" w:cs="Cambria"/>
      <w:b/>
      <w:bCs/>
      <w:sz w:val="28"/>
      <w:szCs w:val="28"/>
      <w:lang w:eastAsia="en-US"/>
    </w:rPr>
  </w:style>
  <w:style w:type="paragraph" w:styleId="Heading4">
    <w:name w:val="heading 4"/>
    <w:basedOn w:val="Normal"/>
    <w:link w:val="Heading4Char"/>
    <w:uiPriority w:val="9"/>
    <w:unhideWhenUsed/>
    <w:qFormat/>
    <w:rsid w:val="00FA6450"/>
    <w:pPr>
      <w:widowControl w:val="0"/>
      <w:autoSpaceDE w:val="0"/>
      <w:autoSpaceDN w:val="0"/>
      <w:spacing w:before="4" w:after="0" w:line="240" w:lineRule="auto"/>
      <w:ind w:left="60"/>
      <w:outlineLvl w:val="3"/>
    </w:pPr>
    <w:rPr>
      <w:rFonts w:ascii="Cambria" w:eastAsia="Cambria" w:hAnsi="Cambria" w:cs="Cambria"/>
      <w:sz w:val="24"/>
      <w:szCs w:val="24"/>
      <w:lang w:eastAsia="en-US"/>
    </w:rPr>
  </w:style>
  <w:style w:type="paragraph" w:styleId="Heading5">
    <w:name w:val="heading 5"/>
    <w:basedOn w:val="Normal"/>
    <w:link w:val="Heading5Char"/>
    <w:uiPriority w:val="9"/>
    <w:unhideWhenUsed/>
    <w:qFormat/>
    <w:rsid w:val="00FA6450"/>
    <w:pPr>
      <w:widowControl w:val="0"/>
      <w:autoSpaceDE w:val="0"/>
      <w:autoSpaceDN w:val="0"/>
      <w:spacing w:after="0" w:line="240" w:lineRule="auto"/>
      <w:jc w:val="both"/>
      <w:outlineLvl w:val="4"/>
    </w:pPr>
    <w:rPr>
      <w:rFonts w:ascii="Cambria" w:eastAsia="Cambria" w:hAnsi="Cambria" w:cs="Cambria"/>
      <w:b/>
      <w:bCs/>
      <w:lang w:eastAsia="en-US"/>
    </w:rPr>
  </w:style>
  <w:style w:type="paragraph" w:styleId="Heading6">
    <w:name w:val="heading 6"/>
    <w:basedOn w:val="Normal"/>
    <w:link w:val="Heading6Char"/>
    <w:uiPriority w:val="9"/>
    <w:unhideWhenUsed/>
    <w:qFormat/>
    <w:rsid w:val="00FA6450"/>
    <w:pPr>
      <w:widowControl w:val="0"/>
      <w:autoSpaceDE w:val="0"/>
      <w:autoSpaceDN w:val="0"/>
      <w:spacing w:after="0" w:line="240" w:lineRule="auto"/>
      <w:ind w:left="355"/>
      <w:jc w:val="both"/>
      <w:outlineLvl w:val="5"/>
    </w:pPr>
    <w:rPr>
      <w:rFonts w:ascii="Cambria" w:eastAsia="Cambria" w:hAnsi="Cambria" w:cs="Cambria"/>
      <w:b/>
      <w:bCs/>
      <w:i/>
      <w:i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unhideWhenUsed/>
    <w:qFormat/>
    <w:rsid w:val="00574753"/>
    <w:pPr>
      <w:spacing w:after="120"/>
    </w:pPr>
  </w:style>
  <w:style w:type="character" w:customStyle="1" w:styleId="BodyTextChar">
    <w:name w:val="Body Text Char"/>
    <w:basedOn w:val="DefaultParagraphFont"/>
    <w:link w:val="BodyText"/>
    <w:uiPriority w:val="99"/>
    <w:semiHidden/>
    <w:rsid w:val="00574753"/>
  </w:style>
  <w:style w:type="paragraph" w:customStyle="1" w:styleId="TableParagraph">
    <w:name w:val="Table Paragraph"/>
    <w:basedOn w:val="Normal"/>
    <w:uiPriority w:val="1"/>
    <w:qFormat/>
    <w:rsid w:val="00213576"/>
    <w:pPr>
      <w:widowControl w:val="0"/>
      <w:autoSpaceDE w:val="0"/>
      <w:autoSpaceDN w:val="0"/>
      <w:spacing w:after="0" w:line="240" w:lineRule="auto"/>
      <w:ind w:left="71"/>
    </w:pPr>
    <w:rPr>
      <w:rFonts w:ascii="Cambria" w:eastAsia="Cambria" w:hAnsi="Cambria" w:cs="Cambria"/>
      <w:lang w:eastAsia="en-US"/>
    </w:rPr>
  </w:style>
  <w:style w:type="character" w:styleId="Hyperlink">
    <w:name w:val="Hyperlink"/>
    <w:basedOn w:val="DefaultParagraphFont"/>
    <w:uiPriority w:val="99"/>
    <w:unhideWhenUsed/>
    <w:rsid w:val="008739B4"/>
    <w:rPr>
      <w:color w:val="0563C1" w:themeColor="hyperlink"/>
      <w:u w:val="single"/>
    </w:rPr>
  </w:style>
  <w:style w:type="character" w:styleId="UnresolvedMention">
    <w:name w:val="Unresolved Mention"/>
    <w:basedOn w:val="DefaultParagraphFont"/>
    <w:uiPriority w:val="99"/>
    <w:semiHidden/>
    <w:unhideWhenUsed/>
    <w:rsid w:val="008739B4"/>
    <w:rPr>
      <w:color w:val="605E5C"/>
      <w:shd w:val="clear" w:color="auto" w:fill="E1DFDD"/>
    </w:rPr>
  </w:style>
  <w:style w:type="character" w:customStyle="1" w:styleId="Heading1Char">
    <w:name w:val="Heading 1 Char"/>
    <w:basedOn w:val="DefaultParagraphFont"/>
    <w:link w:val="Heading1"/>
    <w:uiPriority w:val="9"/>
    <w:rsid w:val="00FA6450"/>
    <w:rPr>
      <w:rFonts w:ascii="Times New Roman" w:eastAsia="Times New Roman" w:hAnsi="Times New Roman" w:cs="Times New Roman"/>
      <w:b/>
      <w:bCs/>
      <w:sz w:val="36"/>
      <w:szCs w:val="36"/>
      <w:lang w:eastAsia="en-US"/>
    </w:rPr>
  </w:style>
  <w:style w:type="character" w:customStyle="1" w:styleId="Heading2Char">
    <w:name w:val="Heading 2 Char"/>
    <w:basedOn w:val="DefaultParagraphFont"/>
    <w:link w:val="Heading2"/>
    <w:uiPriority w:val="9"/>
    <w:rsid w:val="00FA6450"/>
    <w:rPr>
      <w:rFonts w:ascii="Microsoft Sans Serif" w:eastAsia="Microsoft Sans Serif" w:hAnsi="Microsoft Sans Serif" w:cs="Microsoft Sans Serif"/>
      <w:sz w:val="36"/>
      <w:szCs w:val="36"/>
      <w:lang w:eastAsia="en-US"/>
    </w:rPr>
  </w:style>
  <w:style w:type="character" w:customStyle="1" w:styleId="Heading3Char">
    <w:name w:val="Heading 3 Char"/>
    <w:basedOn w:val="DefaultParagraphFont"/>
    <w:link w:val="Heading3"/>
    <w:uiPriority w:val="9"/>
    <w:rsid w:val="00FA6450"/>
    <w:rPr>
      <w:rFonts w:ascii="Cambria" w:eastAsia="Cambria" w:hAnsi="Cambria" w:cs="Cambria"/>
      <w:b/>
      <w:bCs/>
      <w:sz w:val="28"/>
      <w:szCs w:val="28"/>
      <w:lang w:eastAsia="en-US"/>
    </w:rPr>
  </w:style>
  <w:style w:type="character" w:customStyle="1" w:styleId="Heading4Char">
    <w:name w:val="Heading 4 Char"/>
    <w:basedOn w:val="DefaultParagraphFont"/>
    <w:link w:val="Heading4"/>
    <w:uiPriority w:val="9"/>
    <w:rsid w:val="00FA6450"/>
    <w:rPr>
      <w:rFonts w:ascii="Cambria" w:eastAsia="Cambria" w:hAnsi="Cambria" w:cs="Cambria"/>
      <w:sz w:val="24"/>
      <w:szCs w:val="24"/>
      <w:lang w:eastAsia="en-US"/>
    </w:rPr>
  </w:style>
  <w:style w:type="character" w:customStyle="1" w:styleId="Heading5Char">
    <w:name w:val="Heading 5 Char"/>
    <w:basedOn w:val="DefaultParagraphFont"/>
    <w:link w:val="Heading5"/>
    <w:uiPriority w:val="9"/>
    <w:rsid w:val="00FA6450"/>
    <w:rPr>
      <w:rFonts w:ascii="Cambria" w:eastAsia="Cambria" w:hAnsi="Cambria" w:cs="Cambria"/>
      <w:b/>
      <w:bCs/>
      <w:lang w:eastAsia="en-US"/>
    </w:rPr>
  </w:style>
  <w:style w:type="character" w:customStyle="1" w:styleId="Heading6Char">
    <w:name w:val="Heading 6 Char"/>
    <w:basedOn w:val="DefaultParagraphFont"/>
    <w:link w:val="Heading6"/>
    <w:uiPriority w:val="9"/>
    <w:rsid w:val="00FA6450"/>
    <w:rPr>
      <w:rFonts w:ascii="Cambria" w:eastAsia="Cambria" w:hAnsi="Cambria" w:cs="Cambria"/>
      <w:b/>
      <w:bCs/>
      <w:i/>
      <w:iCs/>
      <w:lang w:eastAsia="en-US"/>
    </w:rPr>
  </w:style>
  <w:style w:type="paragraph" w:styleId="TOC1">
    <w:name w:val="toc 1"/>
    <w:basedOn w:val="Normal"/>
    <w:uiPriority w:val="1"/>
    <w:qFormat/>
    <w:rsid w:val="00FA6450"/>
    <w:pPr>
      <w:widowControl w:val="0"/>
      <w:autoSpaceDE w:val="0"/>
      <w:autoSpaceDN w:val="0"/>
      <w:spacing w:before="605" w:after="0" w:line="240" w:lineRule="auto"/>
      <w:ind w:left="597"/>
    </w:pPr>
    <w:rPr>
      <w:rFonts w:ascii="Times New Roman" w:eastAsia="Times New Roman" w:hAnsi="Times New Roman" w:cs="Times New Roman"/>
      <w:b/>
      <w:bCs/>
      <w:sz w:val="28"/>
      <w:szCs w:val="28"/>
      <w:lang w:eastAsia="en-US"/>
    </w:rPr>
  </w:style>
  <w:style w:type="paragraph" w:styleId="TOC2">
    <w:name w:val="toc 2"/>
    <w:basedOn w:val="Normal"/>
    <w:uiPriority w:val="1"/>
    <w:qFormat/>
    <w:rsid w:val="00FA6450"/>
    <w:pPr>
      <w:widowControl w:val="0"/>
      <w:autoSpaceDE w:val="0"/>
      <w:autoSpaceDN w:val="0"/>
      <w:spacing w:before="302" w:after="0" w:line="240" w:lineRule="auto"/>
      <w:ind w:left="879" w:hanging="1078"/>
    </w:pPr>
    <w:rPr>
      <w:rFonts w:ascii="Cambria" w:eastAsia="Cambria" w:hAnsi="Cambria" w:cs="Cambria"/>
      <w:sz w:val="24"/>
      <w:szCs w:val="24"/>
      <w:lang w:eastAsia="en-US"/>
    </w:rPr>
  </w:style>
  <w:style w:type="paragraph" w:styleId="TOC3">
    <w:name w:val="toc 3"/>
    <w:basedOn w:val="Normal"/>
    <w:uiPriority w:val="1"/>
    <w:qFormat/>
    <w:rsid w:val="00FA6450"/>
    <w:pPr>
      <w:widowControl w:val="0"/>
      <w:autoSpaceDE w:val="0"/>
      <w:autoSpaceDN w:val="0"/>
      <w:spacing w:after="0" w:line="240" w:lineRule="auto"/>
      <w:ind w:left="1956"/>
    </w:pPr>
    <w:rPr>
      <w:rFonts w:ascii="Cambria" w:eastAsia="Cambria" w:hAnsi="Cambria" w:cs="Cambria"/>
      <w:sz w:val="24"/>
      <w:szCs w:val="24"/>
      <w:lang w:eastAsia="en-US"/>
    </w:rPr>
  </w:style>
  <w:style w:type="paragraph" w:styleId="TOC4">
    <w:name w:val="toc 4"/>
    <w:basedOn w:val="Normal"/>
    <w:uiPriority w:val="1"/>
    <w:qFormat/>
    <w:rsid w:val="00FA6450"/>
    <w:pPr>
      <w:widowControl w:val="0"/>
      <w:autoSpaceDE w:val="0"/>
      <w:autoSpaceDN w:val="0"/>
      <w:spacing w:before="7" w:after="0" w:line="240" w:lineRule="auto"/>
      <w:ind w:left="1956"/>
    </w:pPr>
    <w:rPr>
      <w:rFonts w:ascii="Cambria" w:eastAsia="Cambria" w:hAnsi="Cambria" w:cs="Cambria"/>
      <w:sz w:val="24"/>
      <w:szCs w:val="24"/>
      <w:lang w:eastAsia="en-US"/>
    </w:rPr>
  </w:style>
  <w:style w:type="paragraph" w:styleId="Title">
    <w:name w:val="Title"/>
    <w:basedOn w:val="Normal"/>
    <w:link w:val="TitleChar"/>
    <w:uiPriority w:val="10"/>
    <w:qFormat/>
    <w:rsid w:val="00FA6450"/>
    <w:pPr>
      <w:widowControl w:val="0"/>
      <w:autoSpaceDE w:val="0"/>
      <w:autoSpaceDN w:val="0"/>
      <w:spacing w:before="1" w:after="0" w:line="240" w:lineRule="auto"/>
      <w:ind w:left="1318" w:right="1326" w:hanging="1"/>
      <w:jc w:val="center"/>
    </w:pPr>
    <w:rPr>
      <w:rFonts w:ascii="Arial" w:eastAsia="Arial" w:hAnsi="Arial" w:cs="Arial"/>
      <w:b/>
      <w:bCs/>
      <w:sz w:val="62"/>
      <w:szCs w:val="62"/>
      <w:lang w:eastAsia="en-US"/>
    </w:rPr>
  </w:style>
  <w:style w:type="character" w:customStyle="1" w:styleId="TitleChar">
    <w:name w:val="Title Char"/>
    <w:basedOn w:val="DefaultParagraphFont"/>
    <w:link w:val="Title"/>
    <w:uiPriority w:val="10"/>
    <w:rsid w:val="00FA6450"/>
    <w:rPr>
      <w:rFonts w:ascii="Arial" w:eastAsia="Arial" w:hAnsi="Arial" w:cs="Arial"/>
      <w:b/>
      <w:bCs/>
      <w:sz w:val="62"/>
      <w:szCs w:val="62"/>
      <w:lang w:eastAsia="en-US"/>
    </w:rPr>
  </w:style>
  <w:style w:type="paragraph" w:styleId="ListParagraph">
    <w:name w:val="List Paragraph"/>
    <w:basedOn w:val="Normal"/>
    <w:uiPriority w:val="1"/>
    <w:qFormat/>
    <w:rsid w:val="00FA6450"/>
    <w:pPr>
      <w:widowControl w:val="0"/>
      <w:autoSpaceDE w:val="0"/>
      <w:autoSpaceDN w:val="0"/>
      <w:spacing w:after="0" w:line="240" w:lineRule="auto"/>
      <w:ind w:left="992" w:firstLine="283"/>
      <w:jc w:val="both"/>
    </w:pPr>
    <w:rPr>
      <w:rFonts w:ascii="Cambria" w:eastAsia="Cambria" w:hAnsi="Cambria" w:cs="Cambria"/>
      <w:lang w:eastAsia="en-US"/>
    </w:rPr>
  </w:style>
  <w:style w:type="paragraph" w:styleId="FootnoteText">
    <w:name w:val="footnote text"/>
    <w:basedOn w:val="Normal"/>
    <w:link w:val="FootnoteTextChar"/>
    <w:uiPriority w:val="99"/>
    <w:semiHidden/>
    <w:unhideWhenUsed/>
    <w:rsid w:val="00141B6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41B6B"/>
    <w:rPr>
      <w:sz w:val="20"/>
      <w:szCs w:val="20"/>
    </w:rPr>
  </w:style>
  <w:style w:type="character" w:styleId="FootnoteReference">
    <w:name w:val="footnote reference"/>
    <w:basedOn w:val="DefaultParagraphFont"/>
    <w:uiPriority w:val="99"/>
    <w:semiHidden/>
    <w:unhideWhenUsed/>
    <w:rsid w:val="00141B6B"/>
    <w:rPr>
      <w:vertAlign w:val="superscript"/>
    </w:rPr>
  </w:style>
  <w:style w:type="paragraph" w:styleId="Header">
    <w:name w:val="header"/>
    <w:basedOn w:val="Normal"/>
    <w:link w:val="HeaderChar"/>
    <w:uiPriority w:val="99"/>
    <w:unhideWhenUsed/>
    <w:rsid w:val="00141B6B"/>
    <w:pPr>
      <w:tabs>
        <w:tab w:val="center" w:pos="4819"/>
        <w:tab w:val="right" w:pos="9639"/>
      </w:tabs>
      <w:spacing w:after="0" w:line="240" w:lineRule="auto"/>
    </w:pPr>
  </w:style>
  <w:style w:type="character" w:customStyle="1" w:styleId="HeaderChar">
    <w:name w:val="Header Char"/>
    <w:basedOn w:val="DefaultParagraphFont"/>
    <w:link w:val="Header"/>
    <w:uiPriority w:val="99"/>
    <w:rsid w:val="00141B6B"/>
  </w:style>
  <w:style w:type="paragraph" w:styleId="Footer">
    <w:name w:val="footer"/>
    <w:basedOn w:val="Normal"/>
    <w:link w:val="FooterChar"/>
    <w:uiPriority w:val="99"/>
    <w:unhideWhenUsed/>
    <w:rsid w:val="00141B6B"/>
    <w:pPr>
      <w:tabs>
        <w:tab w:val="center" w:pos="4819"/>
        <w:tab w:val="right" w:pos="9639"/>
      </w:tabs>
      <w:spacing w:after="0" w:line="240" w:lineRule="auto"/>
    </w:pPr>
  </w:style>
  <w:style w:type="character" w:customStyle="1" w:styleId="FooterChar">
    <w:name w:val="Footer Char"/>
    <w:basedOn w:val="DefaultParagraphFont"/>
    <w:link w:val="Footer"/>
    <w:uiPriority w:val="99"/>
    <w:rsid w:val="00141B6B"/>
  </w:style>
  <w:style w:type="table" w:styleId="TableGrid">
    <w:name w:val="Table Grid"/>
    <w:basedOn w:val="TableNormal"/>
    <w:rsid w:val="00D82793"/>
    <w:pPr>
      <w:spacing w:after="0" w:line="240" w:lineRule="auto"/>
    </w:pPr>
    <w:rPr>
      <w:rFonts w:ascii="Times New Roman" w:eastAsia="Batang"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CC7E1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1056372">
      <w:bodyDiv w:val="1"/>
      <w:marLeft w:val="0"/>
      <w:marRight w:val="0"/>
      <w:marTop w:val="0"/>
      <w:marBottom w:val="0"/>
      <w:divBdr>
        <w:top w:val="none" w:sz="0" w:space="0" w:color="auto"/>
        <w:left w:val="none" w:sz="0" w:space="0" w:color="auto"/>
        <w:bottom w:val="none" w:sz="0" w:space="0" w:color="auto"/>
        <w:right w:val="none" w:sz="0" w:space="0" w:color="auto"/>
      </w:divBdr>
    </w:div>
    <w:div w:id="476844331">
      <w:bodyDiv w:val="1"/>
      <w:marLeft w:val="0"/>
      <w:marRight w:val="0"/>
      <w:marTop w:val="0"/>
      <w:marBottom w:val="0"/>
      <w:divBdr>
        <w:top w:val="none" w:sz="0" w:space="0" w:color="auto"/>
        <w:left w:val="none" w:sz="0" w:space="0" w:color="auto"/>
        <w:bottom w:val="none" w:sz="0" w:space="0" w:color="auto"/>
        <w:right w:val="none" w:sz="0" w:space="0" w:color="auto"/>
      </w:divBdr>
    </w:div>
    <w:div w:id="1543712659">
      <w:bodyDiv w:val="1"/>
      <w:marLeft w:val="0"/>
      <w:marRight w:val="0"/>
      <w:marTop w:val="0"/>
      <w:marBottom w:val="0"/>
      <w:divBdr>
        <w:top w:val="none" w:sz="0" w:space="0" w:color="auto"/>
        <w:left w:val="none" w:sz="0" w:space="0" w:color="auto"/>
        <w:bottom w:val="none" w:sz="0" w:space="0" w:color="auto"/>
        <w:right w:val="none" w:sz="0" w:space="0" w:color="auto"/>
      </w:divBdr>
    </w:div>
    <w:div w:id="1922251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90.png"/><Relationship Id="rId1" Type="http://schemas.openxmlformats.org/officeDocument/2006/relationships/image" Target="media/image5.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F89E05-6843-41DC-A5B4-2736319080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567</TotalTime>
  <Pages>132</Pages>
  <Words>48357</Words>
  <Characters>275637</Characters>
  <Application>Microsoft Office Word</Application>
  <DocSecurity>0</DocSecurity>
  <Lines>2296</Lines>
  <Paragraphs>646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323348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 Хілуха</dc:creator>
  <cp:keywords/>
  <dc:description/>
  <cp:lastModifiedBy>Оксана Хілуха</cp:lastModifiedBy>
  <cp:revision>361</cp:revision>
  <dcterms:created xsi:type="dcterms:W3CDTF">2026-02-04T20:21:00Z</dcterms:created>
  <dcterms:modified xsi:type="dcterms:W3CDTF">2026-03-04T12:36:00Z</dcterms:modified>
</cp:coreProperties>
</file>